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80"/>
        <w:jc w:val="center"/>
      </w:pPr>
      <w:r>
        <w:rPr>
          <w:rFonts w:ascii="Arial" w:cs="Arial" w:eastAsia="Arial" w:hAnsi="Arial"/>
          <w:b/>
          <w:bCs/>
          <w:i/>
          <w:iCs/>
          <w:sz w:val="18"/>
          <w:szCs w:val="18"/>
        </w:rPr>
        <w:t xml:space="preserve">PRIVILEGED AND CONFIDENTIAL</w:t>
      </w:r>
    </w:p>
    <w:p>
      <w:pPr>
        <w:spacing w:before="0" w:after="80"/>
        <w:jc w:val="center"/>
      </w:pPr>
      <w:r>
        <w:rPr>
          <w:rFonts w:ascii="Arial" w:cs="Arial" w:eastAsia="Arial" w:hAnsi="Arial"/>
          <w:i/>
          <w:iCs/>
          <w:sz w:val="18"/>
          <w:szCs w:val="18"/>
        </w:rPr>
        <w:t xml:space="preserve">Attorney-Client Communication / Work Product</w:t>
      </w:r>
    </w:p>
    <w:p>
      <w:pPr>
        <w:spacing w:before="0" w:after="120"/>
      </w:pPr>
    </w:p>
    <w:p>
      <w:pPr>
        <w:pBdr>
          <w:top w:val="double" w:color="1F3864" w:sz="8"/>
          <w:bottom w:val="double" w:color="1F3864" w:sz="8"/>
        </w:pBdr>
        <w:spacing w:before="240" w:after="240"/>
        <w:jc w:val="center"/>
      </w:pPr>
      <w:r>
        <w:rPr>
          <w:rFonts w:ascii="Arial" w:cs="Arial" w:eastAsia="Arial" w:hAnsi="Arial"/>
          <w:b/>
          <w:bCs/>
          <w:sz w:val="32"/>
          <w:szCs w:val="32"/>
        </w:rPr>
        <w:t xml:space="preserve">SETNET CORPORATION v. MORGAN, LEWIS &amp; BOCKIUS LLP</w:t>
      </w:r>
    </w:p>
    <w:p>
      <w:pPr>
        <w:spacing w:before="120" w:after="480"/>
        <w:jc w:val="center"/>
      </w:pPr>
      <w:r>
        <w:rPr>
          <w:rFonts w:ascii="Arial" w:cs="Arial" w:eastAsia="Arial" w:hAnsi="Arial"/>
          <w:b/>
          <w:bCs/>
          <w:sz w:val="26"/>
          <w:szCs w:val="26"/>
        </w:rPr>
        <w:t xml:space="preserve">Concurrent Conflict of Interest, Patent Malpractice, and Professional Responsibility Violations</w:t>
      </w:r>
    </w:p>
    <w:p>
      <w:pPr>
        <w:spacing w:before="0" w:after="120"/>
      </w:pPr>
    </w:p>
    <w:p>
      <w:pPr>
        <w:spacing w:before="0" w:after="80"/>
        <w:jc w:val="center"/>
      </w:pPr>
      <w:r>
        <w:rPr>
          <w:rFonts w:ascii="Arial" w:cs="Arial" w:eastAsia="Arial" w:hAnsi="Arial"/>
          <w:sz w:val="22"/>
          <w:szCs w:val="22"/>
        </w:rPr>
        <w:t xml:space="preserve">Prepared for: Nicolas P. Fodor, Founder &amp; President, SetNet Corporation</w:t>
      </w:r>
    </w:p>
    <w:p>
      <w:pPr>
        <w:spacing w:before="0" w:after="80"/>
        <w:jc w:val="center"/>
      </w:pPr>
      <w:r>
        <w:rPr>
          <w:rFonts w:ascii="Arial" w:cs="Arial" w:eastAsia="Arial" w:hAnsi="Arial"/>
          <w:sz w:val="22"/>
          <w:szCs w:val="22"/>
        </w:rPr>
        <w:t xml:space="preserve">Date: March 2026</w:t>
      </w:r>
    </w:p>
    <w:p>
      <w:pPr>
        <w:spacing w:before="0" w:after="80"/>
        <w:jc w:val="center"/>
      </w:pPr>
      <w:r>
        <w:rPr>
          <w:rFonts w:ascii="Arial" w:cs="Arial" w:eastAsia="Arial" w:hAnsi="Arial"/>
          <w:i/>
          <w:iCs/>
          <w:sz w:val="22"/>
          <w:szCs w:val="22"/>
        </w:rPr>
        <w:t xml:space="preserve">Status: Comprehensive Analysis — All Known Documents Incorporated</w:t>
      </w:r>
    </w:p>
    <w:p>
      <w:pPr>
        <w:pBdr>
          <w:bottom w:val="single" w:color="AAAAAA" w:sz="4" w:space="1"/>
        </w:pBdr>
        <w:spacing w:before="120" w:after="120"/>
      </w:pPr>
    </w:p>
    <w:p>
      <w:pPr>
        <w:pBdr>
          <w:bottom w:val="single" w:color="1F3864" w:sz="8" w:space="4"/>
        </w:pBdr>
        <w:spacing w:before="320" w:after="160"/>
      </w:pPr>
      <w:r>
        <w:rPr>
          <w:rFonts w:ascii="Arial" w:cs="Arial" w:eastAsia="Arial" w:hAnsi="Arial"/>
          <w:b/>
          <w:bCs/>
          <w:color w:val="1F3864"/>
          <w:sz w:val="26"/>
          <w:szCs w:val="26"/>
        </w:rPr>
        <w:t xml:space="preserve">I.  EXECUTIVE SUMMARY</w:t>
      </w:r>
    </w:p>
    <w:p>
      <w:pPr>
        <w:spacing w:before="0" w:after="160"/>
        <w:ind w:firstLine="720"/>
        <w:jc w:val="left"/>
      </w:pPr>
      <w:r>
        <w:rPr>
          <w:rFonts w:ascii="Arial" w:cs="Arial" w:eastAsia="Arial" w:hAnsi="Arial"/>
          <w:sz w:val="22"/>
          <w:szCs w:val="22"/>
        </w:rPr>
        <w:t xml:space="preserve">This memorandum documents the concurrent conflicts of interest, professional responsibility violations, and resulting damages arising from Morgan, Lewis &amp; Bockius LLP's ("Morgan Lewis") representation of SetNet Corporation and its founder Nicolas P. Fodor during the period 2007–2009 and beyond.</w:t>
      </w:r>
    </w:p>
    <w:p>
      <w:pPr>
        <w:spacing w:before="0" w:after="160"/>
        <w:ind w:firstLine="720"/>
        <w:jc w:val="left"/>
      </w:pPr>
      <w:r>
        <w:rPr>
          <w:rFonts w:ascii="Arial" w:cs="Arial" w:eastAsia="Arial" w:hAnsi="Arial"/>
          <w:sz w:val="22"/>
          <w:szCs w:val="22"/>
        </w:rPr>
        <w:t xml:space="preserve">Morgan Lewis simultaneously represented, through a single attorney (Andrew Gray, patent practice), all four of the following parties whose interests were directly adverse to one another:</w:t>
      </w:r>
    </w:p>
    <w:p>
      <w:pPr>
        <w:pStyle w:val="ListParagraph"/>
        <w:numPr>
          <w:ilvl w:val="0"/>
          <w:numId w:val="2"/>
        </w:numPr>
        <w:spacing w:before="0" w:after="80"/>
        <w:ind w:left="720" w:hanging="360"/>
      </w:pPr>
      <w:r>
        <w:rPr>
          <w:rFonts w:ascii="Arial" w:cs="Arial" w:eastAsia="Arial" w:hAnsi="Arial"/>
          <w:b/>
          <w:bCs/>
          <w:sz w:val="22"/>
          <w:szCs w:val="22"/>
        </w:rPr>
        <w:t xml:space="preserve">SetNet Corporation</w:t>
      </w:r>
      <w:r>
        <w:rPr>
          <w:rFonts w:ascii="Arial" w:cs="Arial" w:eastAsia="Arial" w:hAnsi="Arial"/>
          <w:sz w:val="22"/>
          <w:szCs w:val="22"/>
        </w:rPr>
        <w:t xml:space="preserve"> — corporate client, patent prosecution</w:t>
      </w:r>
    </w:p>
    <w:p>
      <w:pPr>
        <w:pStyle w:val="ListParagraph"/>
        <w:numPr>
          <w:ilvl w:val="0"/>
          <w:numId w:val="2"/>
        </w:numPr>
        <w:spacing w:before="0" w:after="80"/>
        <w:ind w:left="720" w:hanging="360"/>
      </w:pPr>
      <w:r>
        <w:rPr>
          <w:rFonts w:ascii="Arial" w:cs="Arial" w:eastAsia="Arial" w:hAnsi="Arial"/>
          <w:b/>
          <w:bCs/>
          <w:sz w:val="22"/>
          <w:szCs w:val="22"/>
        </w:rPr>
        <w:t xml:space="preserve">Nicolas P. Fodor personally</w:t>
      </w:r>
      <w:r>
        <w:rPr>
          <w:rFonts w:ascii="Arial" w:cs="Arial" w:eastAsia="Arial" w:hAnsi="Arial"/>
          <w:sz w:val="22"/>
          <w:szCs w:val="22"/>
        </w:rPr>
        <w:t xml:space="preserve"> — federal subpoena defense (March 2009)</w:t>
      </w:r>
    </w:p>
    <w:p>
      <w:pPr>
        <w:pStyle w:val="ListParagraph"/>
        <w:numPr>
          <w:ilvl w:val="0"/>
          <w:numId w:val="2"/>
        </w:numPr>
        <w:spacing w:before="0" w:after="80"/>
        <w:ind w:left="720" w:hanging="360"/>
      </w:pPr>
      <w:r>
        <w:rPr>
          <w:rFonts w:ascii="Arial" w:cs="Arial" w:eastAsia="Arial" w:hAnsi="Arial"/>
          <w:b/>
          <w:bCs/>
          <w:sz w:val="22"/>
          <w:szCs w:val="22"/>
        </w:rPr>
        <w:t xml:space="preserve">Hewlett-Packard Company / HP France</w:t>
      </w:r>
      <w:r>
        <w:rPr>
          <w:rFonts w:ascii="Arial" w:cs="Arial" w:eastAsia="Arial" w:hAnsi="Arial"/>
          <w:sz w:val="22"/>
          <w:szCs w:val="22"/>
        </w:rPr>
        <w:t xml:space="preserve"> — active Morgan Lewis client; SetNet's principal litigation adversary in France</w:t>
      </w:r>
    </w:p>
    <w:p>
      <w:pPr>
        <w:pStyle w:val="ListParagraph"/>
        <w:numPr>
          <w:ilvl w:val="0"/>
          <w:numId w:val="2"/>
        </w:numPr>
        <w:spacing w:before="0" w:after="80"/>
        <w:ind w:left="720" w:hanging="360"/>
      </w:pPr>
      <w:r>
        <w:rPr>
          <w:rFonts w:ascii="Arial" w:cs="Arial" w:eastAsia="Arial" w:hAnsi="Arial"/>
          <w:b/>
          <w:bCs/>
          <w:sz w:val="22"/>
          <w:szCs w:val="22"/>
        </w:rPr>
        <w:t xml:space="preserve">Research In Motion (RIM/BlackBerry)</w:t>
      </w:r>
      <w:r>
        <w:rPr>
          <w:rFonts w:ascii="Arial" w:cs="Arial" w:eastAsia="Arial" w:hAnsi="Arial"/>
          <w:sz w:val="22"/>
          <w:szCs w:val="22"/>
        </w:rPr>
        <w:t xml:space="preserve"> — paid Fodor's subpoena defense fees (~$45,000+); used Fodor's confidential documents as prior art in USPTO patent reexamination proceedings against Visto Corporation without Fodor's knowledge or consent as to scope</w:t>
      </w:r>
    </w:p>
    <w:p>
      <w:pPr>
        <w:spacing w:before="0" w:after="120"/>
      </w:pPr>
    </w:p>
    <w:p>
      <w:pPr>
        <w:spacing w:before="0" w:after="160"/>
        <w:ind w:firstLine="720"/>
        <w:jc w:val="left"/>
      </w:pPr>
      <w:r>
        <w:rPr>
          <w:rFonts w:ascii="Arial" w:cs="Arial" w:eastAsia="Arial" w:hAnsi="Arial"/>
          <w:sz w:val="22"/>
          <w:szCs w:val="22"/>
        </w:rPr>
        <w:t xml:space="preserve">The firm's concurrent representation of HP — SetNet's adversary — while simultaneously drafting SetNet's Series A financing terms (June 2008), prosecuting SetNet's patents, and later defending Fodor personally under payments from RIM, constitutes textbook violations of ABA Model Rules 1.7, 1.8(b), 1.8(f), 1.1, and 1.6, as well as corresponding Florida Bar Rules and French professional responsibility standards (RIN Arts. 2, 4.1, 4.2, 16.4; CCBE Art. 3.2).</w:t>
      </w:r>
    </w:p>
    <w:p>
      <w:pPr>
        <w:spacing w:before="0" w:after="160"/>
        <w:ind w:firstLine="720"/>
        <w:jc w:val="left"/>
      </w:pPr>
      <w:r>
        <w:rPr>
          <w:rFonts w:ascii="Arial" w:cs="Arial" w:eastAsia="Arial" w:hAnsi="Arial"/>
          <w:sz w:val="22"/>
          <w:szCs w:val="22"/>
        </w:rPr>
        <w:t xml:space="preserve">The consequences are quantifiable and catastrophic: a decade of French litigation ending in total defeat (January 11, 2017), the failure of otherwise meritorious patent applications, the collapse of a viable California parallel action against HP (filed February 2014; dismissed without prejudice June 27, 2014 — five months after filing, three months after the French Court of Appeal defeat), and Nicolas Fodor's personal Chapter 7 bankruptcy.</w:t>
      </w:r>
    </w:p>
    <w:p>
      <w:pPr>
        <w:spacing w:before="0" w:after="120"/>
      </w:pPr>
    </w:p>
    <w:p>
      <w:pPr>
        <w:pBdr>
          <w:bottom w:val="single" w:color="1F3864" w:sz="8" w:space="4"/>
        </w:pBdr>
        <w:spacing w:before="320" w:after="160"/>
      </w:pPr>
      <w:r>
        <w:rPr>
          <w:rFonts w:ascii="Arial" w:cs="Arial" w:eastAsia="Arial" w:hAnsi="Arial"/>
          <w:b/>
          <w:bCs/>
          <w:color w:val="1F3864"/>
          <w:sz w:val="26"/>
          <w:szCs w:val="26"/>
        </w:rPr>
        <w:t xml:space="preserve">II.  PARTIES AND KEY ACTORS</w:t>
      </w:r>
    </w:p>
    <w:p>
      <w:pPr>
        <w:spacing w:before="240" w:after="120"/>
      </w:pPr>
      <w:r>
        <w:rPr>
          <w:rFonts w:ascii="Arial" w:cs="Arial" w:eastAsia="Arial" w:hAnsi="Arial"/>
          <w:b/>
          <w:bCs/>
          <w:color w:val="2E4A7A"/>
          <w:sz w:val="24"/>
          <w:szCs w:val="24"/>
        </w:rPr>
        <w:t xml:space="preserve">A.  SetNet Corporation and Fodor</w:t>
      </w:r>
    </w:p>
    <w:p>
      <w:pPr>
        <w:spacing w:before="0" w:after="160"/>
        <w:ind w:firstLine="720"/>
        <w:jc w:val="left"/>
      </w:pPr>
      <w:r>
        <w:rPr>
          <w:rFonts w:ascii="Arial" w:cs="Arial" w:eastAsia="Arial" w:hAnsi="Arial"/>
          <w:sz w:val="22"/>
          <w:szCs w:val="22"/>
        </w:rPr>
        <w:t xml:space="preserve">SetNet Corporation is a Florida corporation founded by Nicolas P. Fodor. SetNet developed Cellcentric (originally CellSurfer/Comsurfer), a mobile email and messaging platform using a "Near Switch" concurrent-session architecture proven at 400,000 simultaneous users for ZAZ (Brazil, 1996). In 1999, SetNet entered an agreement with SFR (Société Française du Radiotéléphone) to license and distribute its push-email software to SFR subscribers. This technology predated and anticipated all subsequent mobile email synchronization patents.</w:t>
      </w:r>
    </w:p>
    <w:p>
      <w:pPr>
        <w:spacing w:before="240" w:after="120"/>
      </w:pPr>
      <w:r>
        <w:rPr>
          <w:rFonts w:ascii="Arial" w:cs="Arial" w:eastAsia="Arial" w:hAnsi="Arial"/>
          <w:b/>
          <w:bCs/>
          <w:color w:val="2E4A7A"/>
          <w:sz w:val="24"/>
          <w:szCs w:val="24"/>
        </w:rPr>
        <w:t xml:space="preserve">B.  Hewlett-Packard (HP France / HP Company)</w:t>
      </w:r>
    </w:p>
    <w:p>
      <w:pPr>
        <w:spacing w:before="0" w:after="160"/>
        <w:ind w:firstLine="720"/>
        <w:jc w:val="left"/>
      </w:pPr>
      <w:r>
        <w:rPr>
          <w:rFonts w:ascii="Arial" w:cs="Arial" w:eastAsia="Arial" w:hAnsi="Arial"/>
          <w:sz w:val="22"/>
          <w:szCs w:val="22"/>
        </w:rPr>
        <w:t xml:space="preserve">HP France (Hewlett-Packard France) entered a Cooperation Agreement with SetNet in 2002 to serve as intermediary between SetNet and SFR, declaring and paying license fees based on actual usage. HP Company (Delaware) is the parent and primary legal and beneficial owner of HP France. Beginning in 2003, SetNet identified systematic underreporting of license usage by HP France. HP France terminated its relationship with SetNet and SFR in 2005. SetNet filed suit against HP France and SFR in the Paris Commercial Court on February 13, 2007.</w:t>
      </w:r>
    </w:p>
    <w:p>
      <w:pPr>
        <w:spacing w:before="0" w:after="160"/>
        <w:ind w:firstLine="720"/>
        <w:jc w:val="left"/>
      </w:pPr>
      <w:r>
        <w:rPr>
          <w:rFonts w:ascii="Arial" w:cs="Arial" w:eastAsia="Arial" w:hAnsi="Arial"/>
          <w:sz w:val="22"/>
          <w:szCs w:val="22"/>
        </w:rPr>
        <w:t xml:space="preserve">HP Company was a significant and longstanding Morgan Lewis client across multiple practice areas throughout the entire period of SetNet's representation:</w:t>
      </w:r>
    </w:p>
    <w:p>
      <w:pPr>
        <w:pStyle w:val="ListParagraph"/>
        <w:numPr>
          <w:ilvl w:val="0"/>
          <w:numId w:val="2"/>
        </w:numPr>
        <w:spacing w:before="0" w:after="80"/>
        <w:ind w:left="720" w:hanging="360"/>
      </w:pPr>
      <w:r>
        <w:rPr>
          <w:rFonts w:ascii="Arial" w:cs="Arial" w:eastAsia="Arial" w:hAnsi="Arial"/>
          <w:sz w:val="22"/>
          <w:szCs w:val="22"/>
        </w:rPr>
        <w:t xml:space="preserve">John F. Schultz: Morgan Lewis litigation partner March 2005–September 2008 — precisely overlapping with the June 2008 Series A drafting — supported HP Company as external counsel before becoming HP's Executive Vice President and General Counsel.</w:t>
      </w:r>
    </w:p>
    <w:p>
      <w:pPr>
        <w:pStyle w:val="ListParagraph"/>
        <w:numPr>
          <w:ilvl w:val="0"/>
          <w:numId w:val="2"/>
        </w:numPr>
        <w:spacing w:before="0" w:after="80"/>
        <w:ind w:left="720" w:hanging="360"/>
      </w:pPr>
      <w:r>
        <w:rPr>
          <w:rFonts w:ascii="Arial" w:cs="Arial" w:eastAsia="Arial" w:hAnsi="Arial"/>
          <w:sz w:val="22"/>
          <w:szCs w:val="22"/>
        </w:rPr>
        <w:t xml:space="preserve">Michael J. Holston: Primary HP relationship partner at Morgan Lewis for approximately a decade, left Morgan Lewis in February 2007 to become HP's General Counsel.</w:t>
      </w:r>
    </w:p>
    <w:p>
      <w:pPr>
        <w:pStyle w:val="ListParagraph"/>
        <w:numPr>
          <w:ilvl w:val="0"/>
          <w:numId w:val="2"/>
        </w:numPr>
        <w:spacing w:before="0" w:after="80"/>
        <w:ind w:left="720" w:hanging="360"/>
      </w:pPr>
      <w:r>
        <w:rPr>
          <w:rFonts w:ascii="Arial" w:cs="Arial" w:eastAsia="Arial" w:hAnsi="Arial"/>
          <w:sz w:val="22"/>
          <w:szCs w:val="22"/>
        </w:rPr>
        <w:t xml:space="preserve">Morgan Lewis represented HP in the Retail Wholesale v. Hewlett-Packard securities class action (9th Circuit), with a class period of November 2007 through August 2010 — directly overlapping with the Series A transaction and patent prosecution.</w:t>
      </w:r>
    </w:p>
    <w:p>
      <w:pPr>
        <w:pStyle w:val="ListParagraph"/>
        <w:numPr>
          <w:ilvl w:val="0"/>
          <w:numId w:val="2"/>
        </w:numPr>
        <w:spacing w:before="0" w:after="80"/>
        <w:ind w:left="720" w:hanging="360"/>
      </w:pPr>
      <w:r>
        <w:rPr>
          <w:rFonts w:ascii="Arial" w:cs="Arial" w:eastAsia="Arial" w:hAnsi="Arial"/>
          <w:sz w:val="22"/>
          <w:szCs w:val="22"/>
        </w:rPr>
        <w:t xml:space="preserve">In 2006, HP retained Morgan Lewis for the pretexting/board spying scandal investigation (reviewing approximately one million HP documents).</w:t>
      </w:r>
    </w:p>
    <w:p>
      <w:pPr>
        <w:pStyle w:val="ListParagraph"/>
        <w:numPr>
          <w:ilvl w:val="0"/>
          <w:numId w:val="2"/>
        </w:numPr>
        <w:spacing w:before="0" w:after="80"/>
        <w:ind w:left="720" w:hanging="360"/>
      </w:pPr>
      <w:r>
        <w:rPr>
          <w:rFonts w:ascii="Arial" w:cs="Arial" w:eastAsia="Arial" w:hAnsi="Arial"/>
          <w:sz w:val="22"/>
          <w:szCs w:val="22"/>
        </w:rPr>
        <w:t xml:space="preserve">Morgan Lewis received the 2013 CPBO Pro Bono Partner Award jointly with HP. 2023 Morgan Lewis press releases refer to HPE as a current firm client.</w:t>
      </w:r>
    </w:p>
    <w:p>
      <w:pPr>
        <w:spacing w:before="0" w:after="120"/>
      </w:pPr>
    </w:p>
    <w:p>
      <w:pPr>
        <w:spacing w:before="240" w:after="120"/>
      </w:pPr>
      <w:r>
        <w:rPr>
          <w:rFonts w:ascii="Arial" w:cs="Arial" w:eastAsia="Arial" w:hAnsi="Arial"/>
          <w:b/>
          <w:bCs/>
          <w:color w:val="2E4A7A"/>
          <w:sz w:val="24"/>
          <w:szCs w:val="24"/>
        </w:rPr>
        <w:t xml:space="preserve">C.  SFR / Vivendi / Vodafone</w:t>
      </w:r>
    </w:p>
    <w:p>
      <w:pPr>
        <w:spacing w:before="0" w:after="160"/>
        <w:ind w:firstLine="720"/>
        <w:jc w:val="left"/>
      </w:pPr>
      <w:r>
        <w:rPr>
          <w:rFonts w:ascii="Arial" w:cs="Arial" w:eastAsia="Arial" w:hAnsi="Arial"/>
          <w:sz w:val="22"/>
          <w:szCs w:val="22"/>
        </w:rPr>
        <w:t xml:space="preserve">SFR (Société Française du Radiotéléphone) is a French telecommunications company fully owned by Vivendi SA. SFR's mobile network infrastructure was built by Vodafone, which previously held a 44% share in SFR until April 2011. SFR generated €1.653 billion in revenue from Cellcentric-powered platforms while systematically underreporting usage to SetNet and HP France. In 2004, under pressure, SFR agreed to a Memorandum of Understanding (MoU) switching from per-concurrent-user to per-registered-user pricing and paying €525,000 to settle pre-2004 claims. This MoU operated as a French Civil Code Art. 2044 "Transaction" — res judicata effect — making subsequent claims dependent on proving fraud (dol).</w:t>
      </w:r>
    </w:p>
    <w:p>
      <w:pPr>
        <w:spacing w:before="0" w:after="160"/>
        <w:ind w:firstLine="720"/>
        <w:jc w:val="left"/>
      </w:pPr>
      <w:r>
        <w:rPr>
          <w:rFonts w:ascii="Arial" w:cs="Arial" w:eastAsia="Arial" w:hAnsi="Arial"/>
          <w:sz w:val="22"/>
          <w:szCs w:val="22"/>
        </w:rPr>
        <w:t xml:space="preserve">Individual defendants Nicolas Romanetti and Florent Ramiere were SetNet software engineers poached by SFR in 2005, who assisted SFR in reverse engineering Cellcentric to enable migration to competitor technologies after HP France withdrew.</w:t>
      </w:r>
    </w:p>
    <w:p>
      <w:pPr>
        <w:spacing w:before="240" w:after="120"/>
      </w:pPr>
      <w:r>
        <w:rPr>
          <w:rFonts w:ascii="Arial" w:cs="Arial" w:eastAsia="Arial" w:hAnsi="Arial"/>
          <w:b/>
          <w:bCs/>
          <w:color w:val="2E4A7A"/>
          <w:sz w:val="24"/>
          <w:szCs w:val="24"/>
        </w:rPr>
        <w:t xml:space="preserve">D.  Morgan Lewis / Andrew Gray</w:t>
      </w:r>
    </w:p>
    <w:p>
      <w:pPr>
        <w:spacing w:before="0" w:after="160"/>
        <w:ind w:firstLine="720"/>
        <w:jc w:val="left"/>
      </w:pPr>
      <w:r>
        <w:rPr>
          <w:rFonts w:ascii="Arial" w:cs="Arial" w:eastAsia="Arial" w:hAnsi="Arial"/>
          <w:sz w:val="22"/>
          <w:szCs w:val="22"/>
        </w:rPr>
        <w:t xml:space="preserve">Morgan Lewis &amp; Bockius LLP is a major international law firm. Andrew Gray was the Morgan Lewis patent practice lead handling SetNet's patent prosecution and later Fodor's personal federal subpoena defense. Gray is the single attorney at the center of all four concurrent client relationships identified in this analysis. Gray's March 30, 2009 email to Fodor confirms both that RIM used Fodor's documents in USPTO reexamination proceedings and that Fodor had no right to review what was filed.</w:t>
      </w:r>
    </w:p>
    <w:p>
      <w:pPr>
        <w:spacing w:before="240" w:after="120"/>
      </w:pPr>
      <w:r>
        <w:rPr>
          <w:rFonts w:ascii="Arial" w:cs="Arial" w:eastAsia="Arial" w:hAnsi="Arial"/>
          <w:b/>
          <w:bCs/>
          <w:color w:val="2E4A7A"/>
          <w:sz w:val="24"/>
          <w:szCs w:val="24"/>
        </w:rPr>
        <w:t xml:space="preserve">E.  Series A Investors</w:t>
      </w:r>
    </w:p>
    <w:p>
      <w:pPr>
        <w:pStyle w:val="ListParagraph"/>
        <w:numPr>
          <w:ilvl w:val="0"/>
          <w:numId w:val="2"/>
        </w:numPr>
        <w:spacing w:before="0" w:after="80"/>
        <w:ind w:left="720" w:hanging="360"/>
      </w:pPr>
      <w:r>
        <w:rPr>
          <w:rFonts w:ascii="Arial" w:cs="Arial" w:eastAsia="Arial" w:hAnsi="Arial"/>
          <w:b/>
          <w:bCs/>
          <w:sz w:val="22"/>
          <w:szCs w:val="22"/>
        </w:rPr>
        <w:t xml:space="preserve">LAEP Investments / Fabio Floh:</w:t>
      </w:r>
      <w:r>
        <w:rPr>
          <w:rFonts w:ascii="Arial" w:cs="Arial" w:eastAsia="Arial" w:hAnsi="Arial"/>
          <w:sz w:val="22"/>
          <w:szCs w:val="22"/>
        </w:rPr>
        <w:t xml:space="preserve"> Lead Series A investor. Commissioned the LMT Avocats legal analysis (March 1, 2011). The LMT memo assessed 80–90% success probability on SetNet's unpaid royalties claim, with €15–50M estimated recovery.</w:t>
      </w:r>
    </w:p>
    <w:p>
      <w:pPr>
        <w:pStyle w:val="ListParagraph"/>
        <w:numPr>
          <w:ilvl w:val="0"/>
          <w:numId w:val="2"/>
        </w:numPr>
        <w:spacing w:before="0" w:after="80"/>
        <w:ind w:left="720" w:hanging="360"/>
      </w:pPr>
      <w:r>
        <w:rPr>
          <w:rFonts w:ascii="Arial" w:cs="Arial" w:eastAsia="Arial" w:hAnsi="Arial"/>
          <w:b/>
          <w:bCs/>
          <w:sz w:val="22"/>
          <w:szCs w:val="22"/>
        </w:rPr>
        <w:t xml:space="preserve">Peter Kleidman:</w:t>
      </w:r>
      <w:r>
        <w:rPr>
          <w:rFonts w:ascii="Arial" w:cs="Arial" w:eastAsia="Arial" w:hAnsi="Arial"/>
          <w:sz w:val="22"/>
          <w:szCs w:val="22"/>
        </w:rPr>
        <w:t xml:space="preserve"> Series A investor introduced by Frédéric Hayat. Systematically blocked outside financing, demanded endless information rounds, and promised personal investment that never materialized — the primary executor of the financing trap.</w:t>
      </w:r>
    </w:p>
    <w:p>
      <w:pPr>
        <w:pStyle w:val="ListParagraph"/>
        <w:numPr>
          <w:ilvl w:val="0"/>
          <w:numId w:val="2"/>
        </w:numPr>
        <w:spacing w:before="0" w:after="80"/>
        <w:ind w:left="720" w:hanging="360"/>
      </w:pPr>
      <w:r>
        <w:rPr>
          <w:rFonts w:ascii="Arial" w:cs="Arial" w:eastAsia="Arial" w:hAnsi="Arial"/>
          <w:b/>
          <w:bCs/>
          <w:sz w:val="22"/>
          <w:szCs w:val="22"/>
        </w:rPr>
        <w:t xml:space="preserve">Eric Pierson:</w:t>
      </w:r>
      <w:r>
        <w:rPr>
          <w:rFonts w:ascii="Arial" w:cs="Arial" w:eastAsia="Arial" w:hAnsi="Arial"/>
          <w:sz w:val="22"/>
          <w:szCs w:val="22"/>
        </w:rPr>
        <w:t xml:space="preserve"> Series A investor. Debt converted into preferred stock per the Term Sheet. Copied on the March 2009 subpoena/RIM email thread while simultaneously in Paris with Fodor discussing a new advisory services agreement for capital-raising. His simultaneous presence in the RIM billing chain and Fodor's Paris capital meetings is a further conflict indicator.</w:t>
      </w:r>
    </w:p>
    <w:p>
      <w:pPr>
        <w:pStyle w:val="ListParagraph"/>
        <w:numPr>
          <w:ilvl w:val="0"/>
          <w:numId w:val="2"/>
        </w:numPr>
        <w:spacing w:before="0" w:after="80"/>
        <w:ind w:left="720" w:hanging="360"/>
      </w:pPr>
      <w:r>
        <w:rPr>
          <w:rFonts w:ascii="Arial" w:cs="Arial" w:eastAsia="Arial" w:hAnsi="Arial"/>
          <w:b/>
          <w:bCs/>
          <w:sz w:val="22"/>
          <w:szCs w:val="22"/>
        </w:rPr>
        <w:t xml:space="preserve">Frédéric Hayat:</w:t>
      </w:r>
      <w:r>
        <w:rPr>
          <w:rFonts w:ascii="Arial" w:cs="Arial" w:eastAsia="Arial" w:hAnsi="Arial"/>
          <w:sz w:val="22"/>
          <w:szCs w:val="22"/>
        </w:rPr>
        <w:t xml:space="preserve"> Early SetNet shareholder. Brokered both the HP introduction (GSM Cannes) and the Kleidman introduction.</w:t>
      </w:r>
    </w:p>
    <w:p>
      <w:pPr>
        <w:spacing w:before="0" w:after="120"/>
      </w:pPr>
    </w:p>
    <w:p>
      <w:pPr>
        <w:pBdr>
          <w:bottom w:val="single" w:color="1F3864" w:sz="8" w:space="4"/>
        </w:pBdr>
        <w:spacing w:before="320" w:after="160"/>
      </w:pPr>
      <w:r>
        <w:rPr>
          <w:rFonts w:ascii="Arial" w:cs="Arial" w:eastAsia="Arial" w:hAnsi="Arial"/>
          <w:b/>
          <w:bCs/>
          <w:color w:val="1F3864"/>
          <w:sz w:val="26"/>
          <w:szCs w:val="26"/>
        </w:rPr>
        <w:t xml:space="preserve">III.  CHRONOLOGICAL CASE HISTORY</w:t>
      </w:r>
    </w:p>
    <w:p>
      <w:pPr>
        <w:spacing w:before="240" w:after="120"/>
      </w:pPr>
      <w:r>
        <w:rPr>
          <w:rFonts w:ascii="Arial" w:cs="Arial" w:eastAsia="Arial" w:hAnsi="Arial"/>
          <w:b/>
          <w:bCs/>
          <w:color w:val="2E4A7A"/>
          <w:sz w:val="24"/>
          <w:szCs w:val="24"/>
        </w:rPr>
        <w:t xml:space="preserve">A.  SetNet-HP France-SFR Relationship (1999–2006)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rPr>
          <w:tblHeader/>
        </w:trPr>
        <w:tc>
          <w:tcPr>
            <w:tcW w:type="dxa" w:w="14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Date</w:t>
            </w:r>
          </w:p>
        </w:tc>
        <w:tc>
          <w:tcPr>
            <w:tcW w:type="dxa" w:w="79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Event</w:t>
            </w:r>
          </w:p>
        </w:tc>
      </w:tr>
      <w:tr>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1996</w:t>
            </w:r>
          </w:p>
        </w:tc>
        <w:tc>
          <w:tcPr>
            <w:tcW w:type="dxa" w:w="79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Cellcentric (CellSurfer/Comsurfer) proven at 400,000 concurrent users — ZAZ, Brazil. Technology predates all subsequent mobile email synchronization patents.</w:t>
            </w:r>
          </w:p>
        </w:tc>
      </w:tr>
      <w:tr>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1999</w:t>
            </w:r>
          </w:p>
        </w:tc>
        <w:tc>
          <w:tcPr>
            <w:tcW w:type="dxa" w:w="79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SetNet enters agreement with SFR to license and distribute Cellcentric to SFR subscribers.</w:t>
            </w:r>
          </w:p>
        </w:tc>
      </w:tr>
      <w:tr>
        <w:tc>
          <w:tcPr>
            <w:tcW w:type="dxa" w:w="14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2002</w:t>
            </w:r>
          </w:p>
        </w:tc>
        <w:tc>
          <w:tcPr>
            <w:tcW w:type="dxa" w:w="79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HP France enters Cooperation Agreement: serves as intermediary between SetNet and SFR, declares and pays per-concurrent-session license fees (~$5,000/simultaneous session). HP Company assists with negotiation.</w:t>
            </w:r>
          </w:p>
        </w:tc>
      </w:tr>
      <w:tr>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2003</w:t>
            </w:r>
          </w:p>
        </w:tc>
        <w:tc>
          <w:tcPr>
            <w:tcW w:type="dxa" w:w="79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SetNet identifies systematic underreporting by HP France. Discrepancy between declared and actual usage becomes apparent as Vodafone Live launches, driving exponential growth in Cellcentric user counts.</w:t>
            </w:r>
          </w:p>
        </w:tc>
      </w:tr>
      <w:tr>
        <w:tc>
          <w:tcPr>
            <w:tcW w:type="dxa" w:w="14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2004</w:t>
            </w:r>
          </w:p>
        </w:tc>
        <w:tc>
          <w:tcPr>
            <w:tcW w:type="dxa" w:w="79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Internal HP France-SFR memorandum obtained by SetNet effectively admits underreporting. 2004 MoU negotiated: per-registered-user pricing at €5.00/user; SFR pays €525,000 for all pre-2004 claims. MoU operates as French Civil Code Art. 2044 Transaction (res judicata effect).</w:t>
            </w:r>
          </w:p>
        </w:tc>
      </w:tr>
      <w:tr>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2005</w:t>
            </w:r>
          </w:p>
        </w:tc>
        <w:tc>
          <w:tcPr>
            <w:tcW w:type="dxa" w:w="79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HP France terminates relationship with SetNet and SFR. SFR poaches Romanetti and Ramiere from SetNet to fill technical void and, later, to reverse-engineer Cellcentric. SFR removes SetNet software and migrates to competitor technologies. SetNet sues SFR in France for unpaid support fees.</w:t>
            </w:r>
          </w:p>
        </w:tc>
      </w:tr>
      <w:tr>
        <w:tc>
          <w:tcPr>
            <w:tcW w:type="dxa" w:w="14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Feb. 2006</w:t>
            </w:r>
          </w:p>
        </w:tc>
        <w:tc>
          <w:tcPr>
            <w:tcW w:type="dxa" w:w="79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French court rules in SetNet's favor: orders SFR to pay €265,000 in support fees and produce license usage data. SFR claims all data has been deleted.</w:t>
            </w:r>
          </w:p>
        </w:tc>
      </w:tr>
      <w:tr>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Feb. 13, 2007</w:t>
            </w:r>
          </w:p>
        </w:tc>
        <w:tc>
          <w:tcPr>
            <w:tcW w:type="dxa" w:w="79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SetNet files suit against SFR and HP France in Paris Commercial Court for breach of the Cooperation Agreement. SetNet argues SFR used Cellcentric on approximately 7.5 million phones without paying license fees. Claim range: €5.00–€5,000/user depending on usage.</w:t>
            </w:r>
          </w:p>
        </w:tc>
      </w:tr>
    </w:tbl>
    <w:p>
      <w:pPr>
        <w:spacing w:before="0" w:after="120"/>
      </w:pPr>
    </w:p>
    <w:p>
      <w:pPr>
        <w:spacing w:before="240" w:after="120"/>
      </w:pPr>
      <w:r>
        <w:rPr>
          <w:rFonts w:ascii="Arial" w:cs="Arial" w:eastAsia="Arial" w:hAnsi="Arial"/>
          <w:b/>
          <w:bCs/>
          <w:color w:val="2E4A7A"/>
          <w:sz w:val="24"/>
          <w:szCs w:val="24"/>
        </w:rPr>
        <w:t xml:space="preserve">B.  Morgan Lewis Concurrent Representation Period (2007–2009)</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rPr>
          <w:tblHeader/>
        </w:trPr>
        <w:tc>
          <w:tcPr>
            <w:tcW w:type="dxa" w:w="14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Date</w:t>
            </w:r>
          </w:p>
        </w:tc>
        <w:tc>
          <w:tcPr>
            <w:tcW w:type="dxa" w:w="79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Event</w:t>
            </w:r>
          </w:p>
        </w:tc>
      </w:tr>
      <w:tr>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2007</w:t>
            </w:r>
          </w:p>
        </w:tc>
        <w:tc>
          <w:tcPr>
            <w:tcW w:type="dxa" w:w="79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Morgan Lewis (Andrew Gray) begins patent prosecution for SetNet's Cellcentric technology. HP Company is simultaneously an active Morgan Lewis client across multiple matters including the pretexting investigation (2006) and securities class action (2007–2010).</w:t>
            </w:r>
          </w:p>
        </w:tc>
      </w:tr>
      <w:tr>
        <w:tc>
          <w:tcPr>
            <w:tcW w:type="dxa" w:w="14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May 1, 2006</w:t>
            </w:r>
          </w:p>
        </w:tc>
        <w:tc>
          <w:tcPr>
            <w:tcW w:type="dxa" w:w="79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Visto Corporation sues RIM in E.D. Texas for infringement of four mobile email synchronization patents. RIM retains Morgan Lewis (Andrew Gray) as part of its defense team. SetNet's Cellcentric concurrent-session architecture — proven in Brazil in 1996 — is highly relevant prior art to Visto's claims.</w:t>
            </w:r>
          </w:p>
        </w:tc>
      </w:tr>
      <w:tr>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June 2008</w:t>
            </w:r>
          </w:p>
        </w:tc>
        <w:tc>
          <w:tcPr>
            <w:tcW w:type="dxa" w:w="79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Morgan Lewis (doc ref: 1-PA/3694111.5, Philadelphia office) drafts SetNet's Series A Term Sheet. Pre-money valuation: $200,000. Key terms structured around HP France litigation proceeds. HP Company is simultaneously an active Morgan Lewis litigation client. HP France is named in the litigation that is the sole economic basis for the Series A transaction.</w:t>
            </w:r>
          </w:p>
        </w:tc>
      </w:tr>
      <w:tr>
        <w:tc>
          <w:tcPr>
            <w:tcW w:type="dxa" w:w="144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pPr>
              <w:spacing w:before="60" w:after="60"/>
            </w:pPr>
            <w:r>
              <w:rPr>
                <w:rFonts w:ascii="Arial" w:cs="Arial" w:eastAsia="Arial" w:hAnsi="Arial"/>
                <w:sz w:val="22"/>
                <w:szCs w:val="22"/>
              </w:rPr>
              <w:t xml:space="preserve">Mar. 28–30, 2009</w:t>
            </w:r>
          </w:p>
        </w:tc>
        <w:tc>
          <w:tcPr>
            <w:tcW w:type="dxa" w:w="792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pPr>
              <w:spacing w:before="60" w:after="60"/>
            </w:pPr>
            <w:r>
              <w:rPr>
                <w:rFonts w:ascii="Arial" w:cs="Arial" w:eastAsia="Arial" w:hAnsi="Arial"/>
                <w:sz w:val="22"/>
                <w:szCs w:val="22"/>
              </w:rPr>
              <w:t xml:space="preserve">Federal subpoena served on Fodor in connection with RIM's defense against Visto. RIM pays Morgan Lewis approximately $45,000+ to offset Fodor's subpoena defense fees — a third-party payor arrangement. Gray's March 30, 2009 email to Fodor (copied to Eric Pierson) states: "Nick cannot get RIM to provide any information regarding what it did with Nick's documents at this point" and confirms RIM made USPTO filings using Fodor's documents. Pierson is simultaneously in Paris with Fodor discussing capital-raising.</w:t>
            </w:r>
          </w:p>
        </w:tc>
      </w:tr>
      <w:tr>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July 23, 2009</w:t>
            </w:r>
          </w:p>
        </w:tc>
        <w:tc>
          <w:tcPr>
            <w:tcW w:type="dxa" w:w="79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RIM settles all worldwide patent litigation with Visto for $267.5 million, receiving a perpetual license on all Visto patents and a transfer of certain Visto intellectual property. Fodor's documents, submitted via the subpoena, were used in RIM's USPTO reexamination defense. Fodor has no accounting of what was filed.</w:t>
            </w:r>
          </w:p>
        </w:tc>
      </w:tr>
    </w:tbl>
    <w:p>
      <w:pPr>
        <w:spacing w:before="0" w:after="120"/>
      </w:pPr>
    </w:p>
    <w:p>
      <w:pPr>
        <w:spacing w:before="240" w:after="120"/>
      </w:pPr>
      <w:r>
        <w:rPr>
          <w:rFonts w:ascii="Arial" w:cs="Arial" w:eastAsia="Arial" w:hAnsi="Arial"/>
          <w:b/>
          <w:bCs/>
          <w:color w:val="2E4A7A"/>
          <w:sz w:val="24"/>
          <w:szCs w:val="24"/>
        </w:rPr>
        <w:t xml:space="preserve">C.  French Litigation Defeat (2012–2017)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rPr>
          <w:tblHeader/>
        </w:trPr>
        <w:tc>
          <w:tcPr>
            <w:tcW w:type="dxa" w:w="14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Date</w:t>
            </w:r>
          </w:p>
        </w:tc>
        <w:tc>
          <w:tcPr>
            <w:tcW w:type="dxa" w:w="79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Event</w:t>
            </w:r>
          </w:p>
        </w:tc>
      </w:tr>
      <w:tr>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Nov. 16, 2012</w:t>
            </w:r>
          </w:p>
        </w:tc>
        <w:tc>
          <w:tcPr>
            <w:tcW w:type="dxa" w:w="79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Paris Commercial Court rules against SetNet.</w:t>
            </w:r>
          </w:p>
        </w:tc>
      </w:tr>
      <w:tr>
        <w:tc>
          <w:tcPr>
            <w:tcW w:type="dxa" w:w="14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Mar. 12, 2014</w:t>
            </w:r>
          </w:p>
        </w:tc>
        <w:tc>
          <w:tcPr>
            <w:tcW w:type="dxa" w:w="79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Paris Court of Appeal rules against SetNet. Key insider affidavit excluded due to RPVA technical system failure — a procedural defeat that a properly resourced legal team could have prevented.</w:t>
            </w:r>
          </w:p>
        </w:tc>
      </w:tr>
      <w:tr>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Jan.–Feb. 2014</w:t>
            </w:r>
          </w:p>
        </w:tc>
        <w:tc>
          <w:tcPr>
            <w:tcW w:type="dxa" w:w="79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California complaint filed in Santa Clara Superior Court (Case No. 61⁄2F÷I |GbO) by Francisco X. Márquez / Tomas M. Flores. Defendants: Hewlett Packard et al (HP Company, SFR/Vivendi, Vodafone, Romanetti, Ramiere). Claims: Tortious Interference, Negligent Interference, Interference with Prospective Economic Advantage, Trade Secret Misappropriation, Unfair Competition, Fraud.</w:t>
            </w:r>
          </w:p>
        </w:tc>
      </w:tr>
      <w:tr>
        <w:tc>
          <w:tcPr>
            <w:tcW w:type="dxa" w:w="144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pPr>
              <w:spacing w:before="60" w:after="60"/>
            </w:pPr>
            <w:r>
              <w:rPr>
                <w:rFonts w:ascii="Arial" w:cs="Arial" w:eastAsia="Arial" w:hAnsi="Arial"/>
                <w:sz w:val="22"/>
                <w:szCs w:val="22"/>
              </w:rPr>
              <w:t xml:space="preserve">June 27, 2014</w:t>
            </w:r>
          </w:p>
        </w:tc>
        <w:tc>
          <w:tcPr>
            <w:tcW w:type="dxa" w:w="792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pPr>
              <w:spacing w:before="60" w:after="60"/>
            </w:pPr>
            <w:r>
              <w:rPr>
                <w:rFonts w:ascii="Arial" w:cs="Arial" w:eastAsia="Arial" w:hAnsi="Arial"/>
                <w:sz w:val="22"/>
                <w:szCs w:val="22"/>
              </w:rPr>
              <w:t xml:space="preserve">California complaint dismissed WITHOUT PREJUDICE on SetNet's own motion (Tomas M. Flores, counsel for SetNet). Filed just five months after the complaint, three months after the French Court of Appeal defeat. No settlement — dismissal preserves right to refile. Cause: financing exhaustion following French appeal loss.</w:t>
            </w:r>
          </w:p>
        </w:tc>
      </w:tr>
      <w:tr>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Jan. 11, 2017</w:t>
            </w:r>
          </w:p>
        </w:tc>
        <w:tc>
          <w:tcPr>
            <w:tcW w:type="dxa" w:w="79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French Court of Cassation issues final rejection. All French remedies exhausted. Cellcentric-powered platforms generated €1.653 billion in SFR revenue. Lipski expert report (court-approved) valued damages at €16.35M in missed revenues plus €27M in lost opportunities.</w:t>
            </w:r>
          </w:p>
        </w:tc>
      </w:tr>
      <w:tr>
        <w:tc>
          <w:tcPr>
            <w:tcW w:type="dxa" w:w="144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pPr>
              <w:spacing w:before="60" w:after="60"/>
            </w:pPr>
            <w:r>
              <w:rPr>
                <w:rFonts w:ascii="Arial" w:cs="Arial" w:eastAsia="Arial" w:hAnsi="Arial"/>
                <w:sz w:val="22"/>
                <w:szCs w:val="22"/>
              </w:rPr>
              <w:t xml:space="preserve">Post-2017</w:t>
            </w:r>
          </w:p>
        </w:tc>
        <w:tc>
          <w:tcPr>
            <w:tcW w:type="dxa" w:w="792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pPr>
              <w:spacing w:before="60" w:after="60"/>
            </w:pPr>
            <w:r>
              <w:rPr>
                <w:rFonts w:ascii="Arial" w:cs="Arial" w:eastAsia="Arial" w:hAnsi="Arial"/>
                <w:sz w:val="22"/>
                <w:szCs w:val="22"/>
              </w:rPr>
              <w:t xml:space="preserve">Nicolas Fodor files for Chapter 7 personal bankruptcy — direct result of financing asphyxiation, failed patents, and decade of uncompensated litigation leadership.</w:t>
            </w:r>
          </w:p>
        </w:tc>
      </w:tr>
    </w:tbl>
    <w:p>
      <w:pPr>
        <w:spacing w:before="0" w:after="120"/>
      </w:pPr>
    </w:p>
    <w:p>
      <w:pPr>
        <w:pBdr>
          <w:bottom w:val="single" w:color="1F3864" w:sz="8" w:space="4"/>
        </w:pBdr>
        <w:spacing w:before="320" w:after="160"/>
      </w:pPr>
      <w:r>
        <w:rPr>
          <w:rFonts w:ascii="Arial" w:cs="Arial" w:eastAsia="Arial" w:hAnsi="Arial"/>
          <w:b/>
          <w:bCs/>
          <w:color w:val="1F3864"/>
          <w:sz w:val="26"/>
          <w:szCs w:val="26"/>
        </w:rPr>
        <w:t xml:space="preserve">IV.  PROFESSIONAL RESPONSIBILITY VIOLATIONS</w:t>
      </w:r>
    </w:p>
    <w:p>
      <w:pPr>
        <w:spacing w:before="240" w:after="120"/>
      </w:pPr>
      <w:r>
        <w:rPr>
          <w:rFonts w:ascii="Arial" w:cs="Arial" w:eastAsia="Arial" w:hAnsi="Arial"/>
          <w:b/>
          <w:bCs/>
          <w:color w:val="2E4A7A"/>
          <w:sz w:val="24"/>
          <w:szCs w:val="24"/>
        </w:rPr>
        <w:t xml:space="preserve">A.  Concurrent Conflict of Interest — ABA Rule 1.7</w:t>
      </w:r>
    </w:p>
    <w:p>
      <w:pPr>
        <w:spacing w:before="180" w:after="80"/>
      </w:pPr>
      <w:r>
        <w:rPr>
          <w:rFonts w:ascii="Arial" w:cs="Arial" w:eastAsia="Arial" w:hAnsi="Arial"/>
          <w:b/>
          <w:bCs/>
          <w:sz w:val="22"/>
          <w:szCs w:val="22"/>
          <w:u w:val="single"/>
        </w:rPr>
        <w:t xml:space="preserve">The Conflict</w:t>
      </w:r>
    </w:p>
    <w:p>
      <w:pPr>
        <w:spacing w:before="0" w:after="160"/>
        <w:ind w:firstLine="720"/>
        <w:jc w:val="left"/>
      </w:pPr>
      <w:r>
        <w:rPr>
          <w:rFonts w:ascii="Arial" w:cs="Arial" w:eastAsia="Arial" w:hAnsi="Arial"/>
          <w:sz w:val="22"/>
          <w:szCs w:val="22"/>
        </w:rPr>
        <w:t xml:space="preserve">ABA Model Rule 1.7 prohibits representation of a client if the representation involves a concurrent conflict of interest — defined as a direct adversity between clients, or a significant risk that the representation of one client will be materially limited by responsibilities to another. Florida Rule 4-1.7 is substantively identical. French RIN Art. 4.1 and CCBE Art. 3.2 prohibit representation of parties with conflicting interests.</w:t>
      </w:r>
    </w:p>
    <w:p>
      <w:pPr>
        <w:spacing w:before="0" w:after="160"/>
        <w:ind w:firstLine="720"/>
        <w:jc w:val="left"/>
      </w:pPr>
      <w:r>
        <w:rPr>
          <w:rFonts w:ascii="Arial" w:cs="Arial" w:eastAsia="Arial" w:hAnsi="Arial"/>
          <w:sz w:val="22"/>
          <w:szCs w:val="22"/>
        </w:rPr>
        <w:t xml:space="preserve">The conflict here is structural and total. Every economic term of SetNet's June 2008 Series A Term Sheet was calibrated against HP France's litigation exposure. HP France — a wholly owned subsidiary of HP Company — was the primary defendant in the litigation that was the sole economic basis for the Series A. HP Company was simultaneously an active Morgan Lewis client across at least four concurrent matters.</w:t>
      </w:r>
    </w:p>
    <w:p>
      <w:pPr>
        <w:spacing w:before="180" w:after="80"/>
      </w:pPr>
      <w:r>
        <w:rPr>
          <w:rFonts w:ascii="Arial" w:cs="Arial" w:eastAsia="Arial" w:hAnsi="Arial"/>
          <w:b/>
          <w:bCs/>
          <w:sz w:val="22"/>
          <w:szCs w:val="22"/>
          <w:u w:val="single"/>
        </w:rPr>
        <w:t xml:space="preserve">Evidence of HP as Active Morgan Lewis Client</w:t>
      </w:r>
    </w:p>
    <w:p>
      <w:pPr>
        <w:pStyle w:val="ListParagraph"/>
        <w:numPr>
          <w:ilvl w:val="0"/>
          <w:numId w:val="2"/>
        </w:numPr>
        <w:spacing w:before="0" w:after="80"/>
        <w:ind w:left="720" w:hanging="360"/>
      </w:pPr>
      <w:r>
        <w:rPr>
          <w:rFonts w:ascii="Arial" w:cs="Arial" w:eastAsia="Arial" w:hAnsi="Arial"/>
          <w:sz w:val="22"/>
          <w:szCs w:val="22"/>
        </w:rPr>
        <w:t xml:space="preserve">John F. Schultz served as Morgan Lewis litigation partner (March 2005–September 2008) supporting HP Company as external counsel — overlapping precisely with the June 2008 Series A drafting.</w:t>
      </w:r>
    </w:p>
    <w:p>
      <w:pPr>
        <w:pStyle w:val="ListParagraph"/>
        <w:numPr>
          <w:ilvl w:val="0"/>
          <w:numId w:val="2"/>
        </w:numPr>
        <w:spacing w:before="0" w:after="80"/>
        <w:ind w:left="720" w:hanging="360"/>
      </w:pPr>
      <w:r>
        <w:rPr>
          <w:rFonts w:ascii="Arial" w:cs="Arial" w:eastAsia="Arial" w:hAnsi="Arial"/>
          <w:sz w:val="22"/>
          <w:szCs w:val="22"/>
        </w:rPr>
        <w:t xml:space="preserve">Michael J. Holston was the primary HP relationship partner for approximately a decade, departing Morgan Lewis in February 2007 to become HP General Counsel.</w:t>
      </w:r>
    </w:p>
    <w:p>
      <w:pPr>
        <w:pStyle w:val="ListParagraph"/>
        <w:numPr>
          <w:ilvl w:val="0"/>
          <w:numId w:val="2"/>
        </w:numPr>
        <w:spacing w:before="0" w:after="80"/>
        <w:ind w:left="720" w:hanging="360"/>
      </w:pPr>
      <w:r>
        <w:rPr>
          <w:rFonts w:ascii="Arial" w:cs="Arial" w:eastAsia="Arial" w:hAnsi="Arial"/>
          <w:sz w:val="22"/>
          <w:szCs w:val="22"/>
        </w:rPr>
        <w:t xml:space="preserve">Morgan Lewis represented HP in the Retail Wholesale v. Hewlett-Packard securities class action (9th Cir.), class period November 2007–August 2010.</w:t>
      </w:r>
    </w:p>
    <w:p>
      <w:pPr>
        <w:pStyle w:val="ListParagraph"/>
        <w:numPr>
          <w:ilvl w:val="0"/>
          <w:numId w:val="2"/>
        </w:numPr>
        <w:spacing w:before="0" w:after="80"/>
        <w:ind w:left="720" w:hanging="360"/>
      </w:pPr>
      <w:r>
        <w:rPr>
          <w:rFonts w:ascii="Arial" w:cs="Arial" w:eastAsia="Arial" w:hAnsi="Arial"/>
          <w:sz w:val="22"/>
          <w:szCs w:val="22"/>
        </w:rPr>
        <w:t xml:space="preserve">Morgan Lewis was retained by HP for the 2006 pretexting/board spying investigation, reviewing approximately one million HP documents.</w:t>
      </w:r>
    </w:p>
    <w:p>
      <w:pPr>
        <w:pStyle w:val="ListParagraph"/>
        <w:numPr>
          <w:ilvl w:val="0"/>
          <w:numId w:val="2"/>
        </w:numPr>
        <w:spacing w:before="0" w:after="80"/>
        <w:ind w:left="720" w:hanging="360"/>
      </w:pPr>
      <w:r>
        <w:rPr>
          <w:rFonts w:ascii="Arial" w:cs="Arial" w:eastAsia="Arial" w:hAnsi="Arial"/>
          <w:sz w:val="22"/>
          <w:szCs w:val="22"/>
        </w:rPr>
        <w:t xml:space="preserve">Morgan Lewis received the 2013 CPBO Pro Bono Partner Award jointly with HP. 2023 Morgan Lewis press releases continue to identify HPE as a firm client.</w:t>
      </w:r>
    </w:p>
    <w:p>
      <w:pPr>
        <w:spacing w:before="180" w:after="80"/>
      </w:pPr>
      <w:r>
        <w:rPr>
          <w:rFonts w:ascii="Arial" w:cs="Arial" w:eastAsia="Arial" w:hAnsi="Arial"/>
          <w:b/>
          <w:bCs/>
          <w:sz w:val="22"/>
          <w:szCs w:val="22"/>
          <w:u w:val="single"/>
        </w:rPr>
        <w:t xml:space="preserve">Why This Conflict Is Likely Nonconsentable</w:t>
      </w:r>
    </w:p>
    <w:p>
      <w:pPr>
        <w:spacing w:before="0" w:after="160"/>
        <w:ind w:firstLine="720"/>
        <w:jc w:val="left"/>
      </w:pPr>
      <w:r>
        <w:rPr>
          <w:rFonts w:ascii="Arial" w:cs="Arial" w:eastAsia="Arial" w:hAnsi="Arial"/>
          <w:sz w:val="22"/>
          <w:szCs w:val="22"/>
        </w:rPr>
        <w:t xml:space="preserve">Under Restatement (Third) of the Law Governing Lawyers §122(2)(c), a conflict is nonconsentable where the lawyer would be unable to provide adequate representation to one or more clients. Where the economic interest of one client (SetNet — maximizing recovery from HP France) is directly opposed to the economic interest of another client (HP Company — minimizing liability of its wholly-owned subsidiary), no meaningful consent is possible.</w:t>
      </w:r>
    </w:p>
    <w:p>
      <w:pPr>
        <w:spacing w:before="0" w:after="160"/>
        <w:ind w:firstLine="720"/>
        <w:jc w:val="left"/>
      </w:pPr>
      <w:r>
        <w:rPr>
          <w:rFonts w:ascii="Arial" w:cs="Arial" w:eastAsia="Arial" w:hAnsi="Arial"/>
          <w:sz w:val="22"/>
          <w:szCs w:val="22"/>
        </w:rPr>
        <w:t xml:space="preserve">The conflict is imputed firm-wide under ABA Rule 1.10 and the corresponding French RIN Art. 4.1 and CCBE Art. 3.2.4. All Morgan Lewis attorneys are disqualified by any one attorney's conflict.</w:t>
      </w:r>
    </w:p>
    <w:p>
      <w:pPr>
        <w:spacing w:before="0" w:after="120"/>
      </w:pPr>
    </w:p>
    <w:p>
      <w:pPr>
        <w:spacing w:before="240" w:after="120"/>
      </w:pPr>
      <w:r>
        <w:rPr>
          <w:rFonts w:ascii="Arial" w:cs="Arial" w:eastAsia="Arial" w:hAnsi="Arial"/>
          <w:b/>
          <w:bCs/>
          <w:color w:val="2E4A7A"/>
          <w:sz w:val="24"/>
          <w:szCs w:val="24"/>
        </w:rPr>
        <w:t xml:space="preserve">B.  Inapplicable Chinese Wall Defense — ABA Rule 1.10 / Rule 8.4(c)</w:t>
      </w:r>
    </w:p>
    <w:p>
      <w:pPr>
        <w:spacing w:before="0" w:after="160"/>
        <w:ind w:firstLine="720"/>
        <w:jc w:val="left"/>
      </w:pPr>
      <w:r>
        <w:rPr>
          <w:rFonts w:ascii="Arial" w:cs="Arial" w:eastAsia="Arial" w:hAnsi="Arial"/>
          <w:sz w:val="22"/>
          <w:szCs w:val="22"/>
        </w:rPr>
        <w:t xml:space="preserve">Morgan Lewis verbally represented to SetNet that a "Chinese Wall" existed between the HP and SetNet representations. This representation was legally incorrect and potentially constitutes a violation of Rule 8.4(c) (conduct involving dishonesty, fraud, deceit, or misrepresentation).</w:t>
      </w:r>
    </w:p>
    <w:p>
      <w:pPr>
        <w:spacing w:before="0" w:after="160"/>
        <w:ind w:firstLine="720"/>
        <w:jc w:val="left"/>
      </w:pPr>
      <w:r>
        <w:rPr>
          <w:rFonts w:ascii="Arial" w:cs="Arial" w:eastAsia="Arial" w:hAnsi="Arial"/>
          <w:sz w:val="22"/>
          <w:szCs w:val="22"/>
        </w:rPr>
        <w:t xml:space="preserve">Ethical screens ("Chinese Walls") cure only lateral-hire conflicts under Rule 1.10 — the scenario where an attorney joins a new firm and brings a conflict from a former firm. They do not cure concurrent client conflicts under Rule 1.7. Where the same firm simultaneously represents adverse clients, no screen procedure is available as a remedy. ABA Rule 1.10 Comments [2]–[4] make this explicit. Restatement §123 confirms the same.</w:t>
      </w:r>
    </w:p>
    <w:p>
      <w:pPr>
        <w:spacing w:before="0" w:after="160"/>
        <w:ind w:firstLine="720"/>
        <w:jc w:val="left"/>
      </w:pPr>
      <w:r>
        <w:rPr>
          <w:rFonts w:ascii="Arial" w:cs="Arial" w:eastAsia="Arial" w:hAnsi="Arial"/>
          <w:sz w:val="22"/>
          <w:szCs w:val="22"/>
        </w:rPr>
        <w:t xml:space="preserve">Morgan Lewis's verbal invocation of a Chinese Wall defense — in a concurrent conflict context where screens are inapplicable — misrepresents the applicable ethical standard. Conveying that a screen cures a Rule 1.7 problem is a misstatement of professional responsibility law.</w:t>
      </w:r>
    </w:p>
    <w:p>
      <w:pPr>
        <w:spacing w:before="0" w:after="120"/>
      </w:pPr>
    </w:p>
    <w:p>
      <w:pPr>
        <w:spacing w:before="240" w:after="120"/>
      </w:pPr>
      <w:r>
        <w:rPr>
          <w:rFonts w:ascii="Arial" w:cs="Arial" w:eastAsia="Arial" w:hAnsi="Arial"/>
          <w:b/>
          <w:bCs/>
          <w:color w:val="2E4A7A"/>
          <w:sz w:val="24"/>
          <w:szCs w:val="24"/>
        </w:rPr>
        <w:t xml:space="preserve">C.  Patent Prosecution Malpractice — ABA Rule 1.1 / 37 C.F.R. § 1.56</w:t>
      </w:r>
    </w:p>
    <w:p>
      <w:pPr>
        <w:spacing w:before="0" w:after="160"/>
        <w:ind w:firstLine="720"/>
        <w:jc w:val="left"/>
      </w:pPr>
      <w:r>
        <w:rPr>
          <w:rFonts w:ascii="Arial" w:cs="Arial" w:eastAsia="Arial" w:hAnsi="Arial"/>
          <w:sz w:val="22"/>
          <w:szCs w:val="22"/>
        </w:rPr>
        <w:t xml:space="preserve">The Cellcentric patent prosecution was conducted while Morgan Lewis was simultaneously representing HP — a company with a massive networking and mobile technology patent portfolio directly relevant to the freedom-to-operate analysis for Cellcentric claims.</w:t>
      </w:r>
    </w:p>
    <w:p>
      <w:pPr>
        <w:spacing w:before="0" w:after="160"/>
        <w:ind w:firstLine="720"/>
        <w:jc w:val="left"/>
      </w:pPr>
      <w:r>
        <w:rPr>
          <w:rFonts w:ascii="Arial" w:cs="Arial" w:eastAsia="Arial" w:hAnsi="Arial"/>
          <w:sz w:val="22"/>
          <w:szCs w:val="22"/>
        </w:rPr>
        <w:t xml:space="preserve">Andrew Gray filed Cellcentric patents without access to: (1) the French litigation's technical record; (2) Lipski expert reports; (3) court-appointed expert analysis; (4) SFR and HP France's technical arguments. SetNet deliberately withheld this information from Morgan Lewis due to its own awareness of the HP conflict. The result was patent prosecution conducted with a fundamentally incomplete technical record.</w:t>
      </w:r>
    </w:p>
    <w:p>
      <w:pPr>
        <w:spacing w:before="0" w:after="160"/>
        <w:ind w:firstLine="720"/>
        <w:jc w:val="left"/>
      </w:pPr>
      <w:r>
        <w:rPr>
          <w:rFonts w:ascii="Arial" w:cs="Arial" w:eastAsia="Arial" w:hAnsi="Arial"/>
          <w:sz w:val="22"/>
          <w:szCs w:val="22"/>
        </w:rPr>
        <w:t xml:space="preserve">More critically, Morgan Lewis was ethically prohibited from:</w:t>
      </w:r>
    </w:p>
    <w:p>
      <w:pPr>
        <w:pStyle w:val="ListParagraph"/>
        <w:numPr>
          <w:ilvl w:val="0"/>
          <w:numId w:val="2"/>
        </w:numPr>
        <w:spacing w:before="0" w:after="80"/>
        <w:ind w:left="720" w:hanging="360"/>
      </w:pPr>
      <w:r>
        <w:rPr>
          <w:rFonts w:ascii="Arial" w:cs="Arial" w:eastAsia="Arial" w:hAnsi="Arial"/>
          <w:sz w:val="22"/>
          <w:szCs w:val="22"/>
        </w:rPr>
        <w:t xml:space="preserve">Researching HP's prior art position with respect to Cellcentric-adjacent technology;</w:t>
      </w:r>
    </w:p>
    <w:p>
      <w:pPr>
        <w:pStyle w:val="ListParagraph"/>
        <w:numPr>
          <w:ilvl w:val="0"/>
          <w:numId w:val="2"/>
        </w:numPr>
        <w:spacing w:before="0" w:after="80"/>
        <w:ind w:left="720" w:hanging="360"/>
      </w:pPr>
      <w:r>
        <w:rPr>
          <w:rFonts w:ascii="Arial" w:cs="Arial" w:eastAsia="Arial" w:hAnsi="Arial"/>
          <w:sz w:val="22"/>
          <w:szCs w:val="22"/>
        </w:rPr>
        <w:t xml:space="preserve">Conducting freedom-to-operate analysis that included HP's own patent portfolio;</w:t>
      </w:r>
    </w:p>
    <w:p>
      <w:pPr>
        <w:pStyle w:val="ListParagraph"/>
        <w:numPr>
          <w:ilvl w:val="0"/>
          <w:numId w:val="2"/>
        </w:numPr>
        <w:spacing w:before="0" w:after="80"/>
        <w:ind w:left="720" w:hanging="360"/>
      </w:pPr>
      <w:r>
        <w:rPr>
          <w:rFonts w:ascii="Arial" w:cs="Arial" w:eastAsia="Arial" w:hAnsi="Arial"/>
          <w:sz w:val="22"/>
          <w:szCs w:val="22"/>
        </w:rPr>
        <w:t xml:space="preserve">Drafting claims that affirmatively distinguished Cellcentric from HP's known implementations.</w:t>
      </w:r>
    </w:p>
    <w:p>
      <w:pPr>
        <w:spacing w:before="0" w:after="160"/>
        <w:ind w:firstLine="720"/>
        <w:jc w:val="left"/>
      </w:pPr>
      <w:r>
        <w:rPr>
          <w:rFonts w:ascii="Arial" w:cs="Arial" w:eastAsia="Arial" w:hAnsi="Arial"/>
          <w:sz w:val="22"/>
          <w:szCs w:val="22"/>
        </w:rPr>
        <w:t xml:space="preserve">The 37 C.F.R. § 1.56 (USPTO Rule 56) dilemma is particularly severe. If Morgan Lewis possessed material HP confidential information relevant to Cellcentric's patentability, the firm faced an impossible ethical choice:</w:t>
      </w:r>
    </w:p>
    <w:p>
      <w:pPr>
        <w:pStyle w:val="ListParagraph"/>
        <w:numPr>
          <w:ilvl w:val="0"/>
          <w:numId w:val="2"/>
        </w:numPr>
        <w:spacing w:before="0" w:after="80"/>
        <w:ind w:left="720" w:hanging="360"/>
      </w:pPr>
      <w:r>
        <w:rPr>
          <w:rFonts w:ascii="Arial" w:cs="Arial" w:eastAsia="Arial" w:hAnsi="Arial"/>
          <w:b/>
          <w:bCs/>
          <w:sz w:val="22"/>
          <w:szCs w:val="22"/>
        </w:rPr>
        <w:t xml:space="preserve">Disclose HP confidential information to the USPTO</w:t>
      </w:r>
      <w:r>
        <w:rPr>
          <w:rFonts w:ascii="Arial" w:cs="Arial" w:eastAsia="Arial" w:hAnsi="Arial"/>
          <w:sz w:val="22"/>
          <w:szCs w:val="22"/>
        </w:rPr>
        <w:t xml:space="preserve"> — breach of ABA Rule 1.6 (confidentiality to HP)</w:t>
      </w:r>
    </w:p>
    <w:p>
      <w:pPr>
        <w:pStyle w:val="ListParagraph"/>
        <w:numPr>
          <w:ilvl w:val="0"/>
          <w:numId w:val="2"/>
        </w:numPr>
        <w:spacing w:before="0" w:after="80"/>
        <w:ind w:left="720" w:hanging="360"/>
      </w:pPr>
      <w:r>
        <w:rPr>
          <w:rFonts w:ascii="Arial" w:cs="Arial" w:eastAsia="Arial" w:hAnsi="Arial"/>
          <w:b/>
          <w:bCs/>
          <w:sz w:val="22"/>
          <w:szCs w:val="22"/>
        </w:rPr>
        <w:t xml:space="preserve">Withhold material information from the USPTO</w:t>
      </w:r>
      <w:r>
        <w:rPr>
          <w:rFonts w:ascii="Arial" w:cs="Arial" w:eastAsia="Arial" w:hAnsi="Arial"/>
          <w:sz w:val="22"/>
          <w:szCs w:val="22"/>
        </w:rPr>
        <w:t xml:space="preserve"> — violation of 37 C.F.R. § 1.56 (duty of candor) and potential inequitable conduct</w:t>
      </w:r>
    </w:p>
    <w:p>
      <w:pPr>
        <w:spacing w:before="0" w:after="160"/>
        <w:ind w:firstLine="720"/>
        <w:jc w:val="left"/>
      </w:pPr>
      <w:r>
        <w:rPr>
          <w:rFonts w:ascii="Arial" w:cs="Arial" w:eastAsia="Arial" w:hAnsi="Arial"/>
          <w:sz w:val="22"/>
          <w:szCs w:val="22"/>
        </w:rPr>
        <w:t xml:space="preserve">There is no ethical path through this dilemma. The only resolution consistent with all duties was to decline the SetNet patent representation — which Morgan Lewis did not do.</w:t>
      </w:r>
    </w:p>
    <w:p>
      <w:pPr>
        <w:spacing w:before="0" w:after="120"/>
      </w:pPr>
    </w:p>
    <w:p>
      <w:pPr>
        <w:spacing w:before="240" w:after="120"/>
      </w:pPr>
      <w:r>
        <w:rPr>
          <w:rFonts w:ascii="Arial" w:cs="Arial" w:eastAsia="Arial" w:hAnsi="Arial"/>
          <w:b/>
          <w:bCs/>
          <w:color w:val="2E4A7A"/>
          <w:sz w:val="24"/>
          <w:szCs w:val="24"/>
        </w:rPr>
        <w:t xml:space="preserve">D.  Financing Trap / Use of Client Information Against Client — ABA Rule 1.8(b)</w:t>
      </w:r>
    </w:p>
    <w:p>
      <w:pPr>
        <w:spacing w:before="0" w:after="160"/>
        <w:ind w:firstLine="720"/>
        <w:jc w:val="left"/>
      </w:pPr>
      <w:r>
        <w:rPr>
          <w:rFonts w:ascii="Arial" w:cs="Arial" w:eastAsia="Arial" w:hAnsi="Arial"/>
          <w:sz w:val="22"/>
          <w:szCs w:val="22"/>
        </w:rPr>
        <w:t xml:space="preserve">ABA Rule 1.8(b) prohibits a lawyer from using information relating to representation of a client to the disadvantage of the client unless the client gives informed consent. Florida Rule 4-1.8(b) is substantively identical.</w:t>
      </w:r>
    </w:p>
    <w:p>
      <w:pPr>
        <w:spacing w:before="0" w:after="160"/>
        <w:ind w:firstLine="720"/>
        <w:jc w:val="left"/>
      </w:pPr>
      <w:r>
        <w:rPr>
          <w:rFonts w:ascii="Arial" w:cs="Arial" w:eastAsia="Arial" w:hAnsi="Arial"/>
          <w:sz w:val="22"/>
          <w:szCs w:val="22"/>
        </w:rPr>
        <w:t xml:space="preserve">The Series A Term Sheet drafted by Morgan Lewis (doc ref: 1-PA/3694111.5) contains the following terms, each of which was calibrated against HP France's litigation exposure and collectively operated as a capital-raising lockout: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Term Sheet Provision</w:t>
            </w:r>
          </w:p>
        </w:tc>
        <w:tc>
          <w:tcPr>
            <w:tcW w:type="dxa" w:w="6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Effect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Pre-money valuation: $200,000</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SetNet valued at effectively zero despite active litigation with €15–50M estimated recovery (per LMT Avocats, 2011). Any new investor entering after Series A faces 88.2% dilution to common.</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5x mandatory redemption from litigation proceeds</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HP France litigation named as redemption trigger. Series A must be redeemed at 5x from litigation proceeds before any other distribution.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8% cumulative dividend preference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Compounds over the life of the investment, increasing the redemption obligation over time.</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No conversion rights (explicitly prohibited)</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Series A investors cannot convert to common, eliminating a standard downside protection mechanism that would otherwise attract institutional capital.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Priority waterfall: 15% litigation costs → NETInvest ~$2.8M note → NETInvest 30% of first $25M → Founder 10% royalty → 5x Series A redemption → remainder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Makes the economics irrational for any professional investor. Litigation finance is structurally excluded. New equity investors are subordinate to the entire waterfall.</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Investor veto power over new financing terms</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Kleidman weaponized this provision to systematically block outside financing throughout the litigation, demanding endless information rounds while never investing his own promised capital.</w:t>
            </w:r>
          </w:p>
        </w:tc>
      </w:tr>
    </w:tbl>
    <w:p>
      <w:pPr>
        <w:spacing w:before="0" w:after="120"/>
      </w:pPr>
    </w:p>
    <w:p>
      <w:pPr>
        <w:spacing w:before="0" w:after="160"/>
        <w:ind w:firstLine="720"/>
        <w:jc w:val="left"/>
      </w:pPr>
      <w:r>
        <w:rPr>
          <w:rFonts w:ascii="Arial" w:cs="Arial" w:eastAsia="Arial" w:hAnsi="Arial"/>
          <w:sz w:val="22"/>
          <w:szCs w:val="22"/>
        </w:rPr>
        <w:t xml:space="preserve">The direct consequence: Fodor was forced to lead a decade of French litigation without salary, no operating budget, and no ability to raise replacement capital. The California complaint — filed in early 2014 against HP Company, SFR, Vivendi, and Vodafone in a jurisdiction where HP's headquarters are located — was dismissed without prejudice just five months after filing, solely for lack of resources.</w:t>
      </w:r>
    </w:p>
    <w:p>
      <w:pPr>
        <w:spacing w:before="0" w:after="120"/>
      </w:pPr>
    </w:p>
    <w:p>
      <w:pPr>
        <w:spacing w:before="240" w:after="120"/>
      </w:pPr>
      <w:r>
        <w:rPr>
          <w:rFonts w:ascii="Arial" w:cs="Arial" w:eastAsia="Arial" w:hAnsi="Arial"/>
          <w:b/>
          <w:bCs/>
          <w:color w:val="2E4A7A"/>
          <w:sz w:val="24"/>
          <w:szCs w:val="24"/>
        </w:rPr>
        <w:t xml:space="preserve">E.  RIM/BlackBerry Third-Party Payor Violation — ABA Rule 1.8(f)  [MOST SERIOUS]</w:t>
      </w:r>
    </w:p>
    <w:p>
      <w:pPr>
        <w:spacing w:before="180" w:after="80"/>
      </w:pPr>
      <w:r>
        <w:rPr>
          <w:rFonts w:ascii="Arial" w:cs="Arial" w:eastAsia="Arial" w:hAnsi="Arial"/>
          <w:b/>
          <w:bCs/>
          <w:sz w:val="22"/>
          <w:szCs w:val="22"/>
          <w:u w:val="single"/>
        </w:rPr>
        <w:t xml:space="preserve">Four Simultaneous Adverse Clients — March 2009</w:t>
      </w:r>
    </w:p>
    <w:p>
      <w:pPr>
        <w:spacing w:before="0" w:after="160"/>
        <w:ind w:firstLine="720"/>
        <w:jc w:val="left"/>
      </w:pPr>
      <w:r>
        <w:rPr>
          <w:rFonts w:ascii="Arial" w:cs="Arial" w:eastAsia="Arial" w:hAnsi="Arial"/>
          <w:sz w:val="22"/>
          <w:szCs w:val="22"/>
        </w:rPr>
        <w:t xml:space="preserve">As of March 28–30, 2009, Andrew Gray simultaneously represented all four of the following parties through Morgan Lewis, all in matters directly touching Cellcentric technology: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rPr>
          <w:tblHeader/>
        </w:trPr>
        <w:tc>
          <w:tcPr>
            <w:tcW w:type="dxa" w:w="2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Client</w:t>
            </w:r>
          </w:p>
        </w:tc>
        <w:tc>
          <w:tcPr>
            <w:tcW w:type="dxa" w:w="2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Matter</w:t>
            </w:r>
          </w:p>
        </w:tc>
        <w:tc>
          <w:tcPr>
            <w:tcW w:type="dxa" w:w="43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Conflict With Other Clients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Nicolas Fodor (personal)</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Federal subpoena defense</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Documents disclosed to Morgan Lewis accessible to firm serving HP and paid by RIM</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RIM/BlackBerry</w:t>
            </w:r>
          </w:p>
        </w:tc>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Paying Fodor's legal fees (~$45K+); using Fodor's documents in Visto reexam</w:t>
            </w:r>
          </w:p>
        </w:tc>
        <w:tc>
          <w:tcPr>
            <w:tcW w:type="dxa" w:w="43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Paying the lawyer defending the person whose documents it was using</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HP France / HP Company</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Active Morgan Lewis litigation client</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SetNet's primary adversary in French proceedings</w:t>
            </w:r>
          </w:p>
        </w:tc>
      </w:tr>
      <w:tr>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SetNet Corporation</w:t>
            </w:r>
          </w:p>
        </w:tc>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Corporate client / patent prosecution</w:t>
            </w:r>
          </w:p>
        </w:tc>
        <w:tc>
          <w:tcPr>
            <w:tcW w:type="dxa" w:w="43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Directly adverse to both HP and effectively to RIM (mobile email space)</w:t>
            </w:r>
          </w:p>
        </w:tc>
      </w:tr>
    </w:tbl>
    <w:p>
      <w:pPr>
        <w:spacing w:before="0" w:after="120"/>
      </w:pPr>
    </w:p>
    <w:p>
      <w:pPr>
        <w:spacing w:before="180" w:after="80"/>
      </w:pPr>
      <w:r>
        <w:rPr>
          <w:rFonts w:ascii="Arial" w:cs="Arial" w:eastAsia="Arial" w:hAnsi="Arial"/>
          <w:b/>
          <w:bCs/>
          <w:sz w:val="22"/>
          <w:szCs w:val="22"/>
          <w:u w:val="single"/>
        </w:rPr>
        <w:t xml:space="preserve">Rule 1.8(f) Requirements — None Were Met</w:t>
      </w:r>
    </w:p>
    <w:p>
      <w:pPr>
        <w:spacing w:before="0" w:after="160"/>
        <w:ind w:firstLine="720"/>
        <w:jc w:val="left"/>
      </w:pPr>
      <w:r>
        <w:rPr>
          <w:rFonts w:ascii="Arial" w:cs="Arial" w:eastAsia="Arial" w:hAnsi="Arial"/>
          <w:sz w:val="22"/>
          <w:szCs w:val="22"/>
        </w:rPr>
        <w:t xml:space="preserve">ABA Rule 1.8(f) permits a lawyer to accept compensation from a third party for representing a client only if: (1) the client gives informed consent; (2) there is no interference with the lawyer's independence of professional judgment or with the client-lawyer relationship; and (3) information relating to representation of the client is protected.</w:t>
      </w:r>
    </w:p>
    <w:p>
      <w:pPr>
        <w:pStyle w:val="ListParagraph"/>
        <w:numPr>
          <w:ilvl w:val="0"/>
          <w:numId w:val="2"/>
        </w:numPr>
        <w:spacing w:before="0" w:after="80"/>
        <w:ind w:left="720" w:hanging="360"/>
      </w:pPr>
      <w:r>
        <w:rPr>
          <w:rFonts w:ascii="Arial" w:cs="Arial" w:eastAsia="Arial" w:hAnsi="Arial"/>
          <w:b/>
          <w:bCs/>
          <w:sz w:val="22"/>
          <w:szCs w:val="22"/>
        </w:rPr>
        <w:t xml:space="preserve">Informed consent:</w:t>
      </w:r>
      <w:r>
        <w:rPr>
          <w:rFonts w:ascii="Arial" w:cs="Arial" w:eastAsia="Arial" w:hAnsi="Arial"/>
          <w:sz w:val="22"/>
          <w:szCs w:val="22"/>
        </w:rPr>
        <w:t xml:space="preserve"> Fodor was verbally informed after the arrangement was in place. Verbal notification after the fact does not satisfy the informed consent requirement.</w:t>
      </w:r>
    </w:p>
    <w:p>
      <w:pPr>
        <w:pStyle w:val="ListParagraph"/>
        <w:numPr>
          <w:ilvl w:val="0"/>
          <w:numId w:val="2"/>
        </w:numPr>
        <w:spacing w:before="0" w:after="80"/>
        <w:ind w:left="720" w:hanging="360"/>
      </w:pPr>
      <w:r>
        <w:rPr>
          <w:rFonts w:ascii="Arial" w:cs="Arial" w:eastAsia="Arial" w:hAnsi="Arial"/>
          <w:b/>
          <w:bCs/>
          <w:sz w:val="22"/>
          <w:szCs w:val="22"/>
        </w:rPr>
        <w:t xml:space="preserve">Independence of judgment:</w:t>
      </w:r>
      <w:r>
        <w:rPr>
          <w:rFonts w:ascii="Arial" w:cs="Arial" w:eastAsia="Arial" w:hAnsi="Arial"/>
          <w:sz w:val="22"/>
          <w:szCs w:val="22"/>
        </w:rPr>
        <w:t xml:space="preserve"> Gray's March 30, 2009 email demonstrates a failure of advocacy. Rather than demanding that RIM account for its use of Fodor's documents and return or destroy them, Gray passively reports that "Nick cannot get RIM to provide any information regarding what it did with Nick's documents." This is RIM's lawyer managing RIM's exposure — not Fodor's lawyer protecting Fodor.</w:t>
      </w:r>
    </w:p>
    <w:p>
      <w:pPr>
        <w:pStyle w:val="ListParagraph"/>
        <w:numPr>
          <w:ilvl w:val="0"/>
          <w:numId w:val="2"/>
        </w:numPr>
        <w:spacing w:before="0" w:after="80"/>
        <w:ind w:left="720" w:hanging="360"/>
      </w:pPr>
      <w:r>
        <w:rPr>
          <w:rFonts w:ascii="Arial" w:cs="Arial" w:eastAsia="Arial" w:hAnsi="Arial"/>
          <w:b/>
          <w:bCs/>
          <w:sz w:val="22"/>
          <w:szCs w:val="22"/>
        </w:rPr>
        <w:t xml:space="preserve">Confidentiality:</w:t>
      </w:r>
      <w:r>
        <w:rPr>
          <w:rFonts w:ascii="Arial" w:cs="Arial" w:eastAsia="Arial" w:hAnsi="Arial"/>
          <w:sz w:val="22"/>
          <w:szCs w:val="22"/>
        </w:rPr>
        <w:t xml:space="preserve"> Everything Fodor disclosed during subpoena defense was structurally accessible to the firm simultaneously serving HP and being paid by RIM. There is no firewall between the attorney representing all four parties.</w:t>
      </w:r>
    </w:p>
    <w:p>
      <w:pPr>
        <w:spacing w:before="180" w:after="80"/>
      </w:pPr>
      <w:r>
        <w:rPr>
          <w:rFonts w:ascii="Arial" w:cs="Arial" w:eastAsia="Arial" w:hAnsi="Arial"/>
          <w:b/>
          <w:bCs/>
          <w:sz w:val="22"/>
          <w:szCs w:val="22"/>
          <w:u w:val="single"/>
        </w:rPr>
        <w:t xml:space="preserve">The Gray Email as Direct Evidence</w:t>
      </w:r>
    </w:p>
    <w:p>
      <w:pPr>
        <w:spacing w:before="0" w:after="160"/>
        <w:ind w:firstLine="720"/>
        <w:jc w:val="left"/>
      </w:pPr>
      <w:r>
        <w:rPr>
          <w:rFonts w:ascii="Arial" w:cs="Arial" w:eastAsia="Arial" w:hAnsi="Arial"/>
          <w:sz w:val="22"/>
          <w:szCs w:val="22"/>
        </w:rPr>
        <w:t xml:space="preserve">Gray's March 30, 2009 email states: </w:t>
      </w:r>
      <w:r>
        <w:rPr>
          <w:rFonts w:ascii="Arial" w:cs="Arial" w:eastAsia="Arial" w:hAnsi="Arial"/>
          <w:b/>
          <w:bCs/>
          <w:i/>
          <w:iCs/>
          <w:sz w:val="22"/>
          <w:szCs w:val="22"/>
        </w:rPr>
        <w:t xml:space="preserve">"Nick cannot get RIM to provide any information regarding what it did with Nick's documents at this point"</w:t>
      </w:r>
      <w:r>
        <w:rPr>
          <w:rFonts w:ascii="Arial" w:cs="Arial" w:eastAsia="Arial" w:hAnsi="Arial"/>
          <w:sz w:val="22"/>
          <w:szCs w:val="22"/>
        </w:rPr>
        <w:t xml:space="preserve"> and: </w:t>
      </w:r>
      <w:r>
        <w:rPr>
          <w:rFonts w:ascii="Arial" w:cs="Arial" w:eastAsia="Arial" w:hAnsi="Arial"/>
          <w:b/>
          <w:bCs/>
          <w:i/>
          <w:iCs/>
          <w:sz w:val="22"/>
          <w:szCs w:val="22"/>
        </w:rPr>
        <w:t xml:space="preserve">"We can probably get all of the filings with the U.S. Patent and Trademark Office in the re-exam matters."</w:t>
      </w:r>
      <w:r>
        <w:rPr>
          <w:rFonts w:ascii="Arial" w:cs="Arial" w:eastAsia="Arial" w:hAnsi="Arial"/>
          <w:sz w:val="22"/>
          <w:szCs w:val="22"/>
        </w:rPr>
        <w:t xml:space="preserve"> This confirms: (1) RIM received Fodor's confidential documents via the federal subpoena; (2) RIM submitted those documents to the USPTO in reexamination proceedings against Visto; (3) Fodor had no right to review what was submitted; and (4) Morgan Lewis accepted this outcome without any remedial action on Fodor's behalf.</w:t>
      </w:r>
    </w:p>
    <w:p>
      <w:pPr>
        <w:spacing w:before="180" w:after="80"/>
      </w:pPr>
      <w:r>
        <w:rPr>
          <w:rFonts w:ascii="Arial" w:cs="Arial" w:eastAsia="Arial" w:hAnsi="Arial"/>
          <w:b/>
          <w:bCs/>
          <w:sz w:val="22"/>
          <w:szCs w:val="22"/>
          <w:u w:val="single"/>
        </w:rPr>
        <w:t xml:space="preserve">The RIM-Visto Context</w:t>
      </w:r>
    </w:p>
    <w:p>
      <w:pPr>
        <w:spacing w:before="0" w:after="160"/>
        <w:ind w:firstLine="720"/>
        <w:jc w:val="left"/>
      </w:pPr>
      <w:r>
        <w:rPr>
          <w:rFonts w:ascii="Arial" w:cs="Arial" w:eastAsia="Arial" w:hAnsi="Arial"/>
          <w:sz w:val="22"/>
          <w:szCs w:val="22"/>
        </w:rPr>
        <w:t xml:space="preserve">RIM settled all worldwide patent litigation with Visto Corporation for $267.5 million on July 23, 2009 — four months after the subpoena. Visto had sued RIM in the Eastern District of Texas in April 2006, asserting four mobile email synchronization patents. RIM's defense included USPTO reexamination proceedings in which Cellcentric's prior art — the concurrent-session mobile email architecture proven at 400,000 users in Brazil in 1996 — was directly material. Fodor's documents were used to establish this prior art at RIM's benefit, under a billing arrangement that placed Morgan Lewis in service of RIM's interests while nominally representing Fodor.</w:t>
      </w:r>
    </w:p>
    <w:p>
      <w:pPr>
        <w:spacing w:before="0" w:after="120"/>
      </w:pPr>
    </w:p>
    <w:p>
      <w:pPr>
        <w:spacing w:before="240" w:after="120"/>
      </w:pPr>
      <w:r>
        <w:rPr>
          <w:rFonts w:ascii="Arial" w:cs="Arial" w:eastAsia="Arial" w:hAnsi="Arial"/>
          <w:b/>
          <w:bCs/>
          <w:color w:val="2E4A7A"/>
          <w:sz w:val="24"/>
          <w:szCs w:val="24"/>
        </w:rPr>
        <w:t xml:space="preserve">F.  Confidentiality Violations — ABA Rule 1.6</w:t>
      </w:r>
    </w:p>
    <w:p>
      <w:pPr>
        <w:spacing w:before="0" w:after="160"/>
        <w:ind w:firstLine="720"/>
        <w:jc w:val="left"/>
      </w:pPr>
      <w:r>
        <w:rPr>
          <w:rFonts w:ascii="Arial" w:cs="Arial" w:eastAsia="Arial" w:hAnsi="Arial"/>
          <w:sz w:val="22"/>
          <w:szCs w:val="22"/>
        </w:rPr>
        <w:t xml:space="preserve">ABA Rule 1.6 prohibits disclosure of information relating to client representation without informed consent. French RIN Art. 2 and French Penal Code Art. 226-13 impose equivalent criminal-grade confidentiality obligations.</w:t>
      </w:r>
    </w:p>
    <w:p>
      <w:pPr>
        <w:spacing w:before="0" w:after="160"/>
        <w:ind w:firstLine="720"/>
        <w:jc w:val="left"/>
      </w:pPr>
      <w:r>
        <w:rPr>
          <w:rFonts w:ascii="Arial" w:cs="Arial" w:eastAsia="Arial" w:hAnsi="Arial"/>
          <w:sz w:val="22"/>
          <w:szCs w:val="22"/>
        </w:rPr>
        <w:t xml:space="preserve">The four-client concurrent representation created a structural confidentiality violation risk. Every piece of information Fodor disclosed in connection with his subpoena defense — the contents of his documents, his analysis of the Cellcentric architecture, his litigation strategy — was accessible within the same firm simultaneously representing HP (SetNet's adversary) and being compensated by RIM (which had a direct financial interest in the outcome of the Visto reexamination). The theoretical firewall between practice groups does not cure a concurrent conflict where the same attorney represents all parties.</w:t>
      </w:r>
    </w:p>
    <w:p>
      <w:pPr>
        <w:spacing w:before="0" w:after="120"/>
      </w:pPr>
    </w:p>
    <w:p>
      <w:pPr>
        <w:pBdr>
          <w:bottom w:val="single" w:color="1F3864" w:sz="8" w:space="4"/>
        </w:pBdr>
        <w:spacing w:before="320" w:after="160"/>
      </w:pPr>
      <w:r>
        <w:rPr>
          <w:rFonts w:ascii="Arial" w:cs="Arial" w:eastAsia="Arial" w:hAnsi="Arial"/>
          <w:b/>
          <w:bCs/>
          <w:color w:val="1F3864"/>
          <w:sz w:val="26"/>
          <w:szCs w:val="26"/>
        </w:rPr>
        <w:t xml:space="preserve">V.  APPLICABLE RULES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Violation</w:t>
            </w:r>
          </w:p>
        </w:tc>
        <w:tc>
          <w:tcPr>
            <w:tcW w:type="dxa" w:w="61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Applicable Rules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Concurrent conflict of interest (HP/SetNet)</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ABA 1.7; FL 4-1.7; French RIN Art. 4.1; CCBE Art. 3.2; Restatement §122(2)(c)</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Inapplicable screen defense / misrepresentation</w:t>
            </w:r>
          </w:p>
        </w:tc>
        <w:tc>
          <w:tcPr>
            <w:tcW w:type="dxa" w:w="61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ABA 1.10 Comments [2]–[4]; Restatement §123; ABA 8.4(c); FL 4-8.4(c)</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Patent prosecution malpractice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ABA 1.1; 37 C.F.R. § 1.56; FL 4-1.1</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Use of client information against client (financing trap)</w:t>
            </w:r>
          </w:p>
        </w:tc>
        <w:tc>
          <w:tcPr>
            <w:tcW w:type="dxa" w:w="61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ABA 1.8(b); FL 4-1.8(b)</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RIM third-party payor — no informed consent, no independence, no confidentiality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ABA 1.8(f); FL 4-1.8(f)</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Confidentiality breach risk — four simultaneous adverse clients</w:t>
            </w:r>
          </w:p>
        </w:tc>
        <w:tc>
          <w:tcPr>
            <w:tcW w:type="dxa" w:w="61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ABA 1.6; FL 4-1.6; French RIN Art. 2; French Penal Code Art. 226-13</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Fourth concurrent conflict (RIM directly adverse to SetNet)</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ABA 1.7; FL 4-1.7</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French/EU professional obligations</w:t>
            </w:r>
          </w:p>
        </w:tc>
        <w:tc>
          <w:tcPr>
            <w:tcW w:type="dxa" w:w="61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RIN Arts. 2, 4.1, 4.2, 16.4; CCBE Arts. 3.2, 3.2.4; EU Directive 98/5/EC</w:t>
            </w:r>
          </w:p>
        </w:tc>
      </w:tr>
    </w:tbl>
    <w:p>
      <w:pPr>
        <w:spacing w:before="0" w:after="120"/>
      </w:pPr>
    </w:p>
    <w:p>
      <w:pPr>
        <w:pBdr>
          <w:bottom w:val="single" w:color="1F3864" w:sz="8" w:space="4"/>
        </w:pBdr>
        <w:spacing w:before="320" w:after="160"/>
      </w:pPr>
      <w:r>
        <w:rPr>
          <w:rFonts w:ascii="Arial" w:cs="Arial" w:eastAsia="Arial" w:hAnsi="Arial"/>
          <w:b/>
          <w:bCs/>
          <w:color w:val="1F3864"/>
          <w:sz w:val="26"/>
          <w:szCs w:val="26"/>
        </w:rPr>
        <w:t xml:space="preserve">VI.  CALIFORNIA PARALLEL ACTION — EVIDENCE OF FINANCING TRAP</w:t>
      </w:r>
    </w:p>
    <w:p>
      <w:pPr>
        <w:spacing w:before="240" w:after="120"/>
      </w:pPr>
      <w:r>
        <w:rPr>
          <w:rFonts w:ascii="Arial" w:cs="Arial" w:eastAsia="Arial" w:hAnsi="Arial"/>
          <w:b/>
          <w:bCs/>
          <w:color w:val="2E4A7A"/>
          <w:sz w:val="24"/>
          <w:szCs w:val="24"/>
        </w:rPr>
        <w:t xml:space="preserve">A.  The Complaint (Filed January/February 2014)</w:t>
      </w:r>
    </w:p>
    <w:p>
      <w:pPr>
        <w:spacing w:before="0" w:after="160"/>
        <w:ind w:firstLine="720"/>
        <w:jc w:val="left"/>
      </w:pPr>
      <w:r>
        <w:rPr>
          <w:rFonts w:ascii="Arial" w:cs="Arial" w:eastAsia="Arial" w:hAnsi="Arial"/>
          <w:sz w:val="22"/>
          <w:szCs w:val="22"/>
        </w:rPr>
        <w:t xml:space="preserve">A California complaint was filed in Santa Clara Superior Court captioned SetNet Corporation v. Hewlett Packard et al. Counsel: Francisco X. Márquez (SBN 172631) and Tomas M. Flores (SBN 236876), both of 97 S. Second Street, Suite 100, San Jose, California 95113. The complaint named HP Company (Delaware), Vivendi SA, Vodafone, SFR, Nicolas Romanetti, and Florent Ramiere as defendants.</w:t>
      </w:r>
    </w:p>
    <w:p>
      <w:pPr>
        <w:spacing w:before="0" w:after="160"/>
        <w:ind w:firstLine="720"/>
        <w:jc w:val="left"/>
      </w:pPr>
      <w:r>
        <w:rPr>
          <w:rFonts w:ascii="Arial" w:cs="Arial" w:eastAsia="Arial" w:hAnsi="Arial"/>
          <w:sz w:val="22"/>
          <w:szCs w:val="22"/>
        </w:rPr>
        <w:t xml:space="preserve">Causes of action: (1) Tortious Interference with Contract; (2) Negligent Interference with Contract; (3) Interference with Prospective Economic Advantage; (4) California Statutory Misappropriation of Trade Secrets (Cal. Civ. Code § 3426 et seq.); (5) Common Law Unfair Competition; (6) Statutory Unfair Competition (Cal. Bus. &amp; Prof. Code § 17200 et seq.); and (7) Fraud.</w:t>
      </w:r>
    </w:p>
    <w:p>
      <w:pPr>
        <w:spacing w:before="0" w:after="160"/>
        <w:ind w:firstLine="720"/>
        <w:jc w:val="left"/>
      </w:pPr>
      <w:r>
        <w:rPr>
          <w:rFonts w:ascii="Arial" w:cs="Arial" w:eastAsia="Arial" w:hAnsi="Arial"/>
          <w:sz w:val="22"/>
          <w:szCs w:val="22"/>
        </w:rPr>
        <w:t xml:space="preserve">The complaint expressly alleged a civil conspiracy among all defendants to engineer SetNet's financial ruin in order to cripple its ability to prosecute its French claims. It identified HP Company as the parent and primary legal and beneficial owner of HP France, and alleged HP assisted with negotiation of the Cooperation Agreement.</w:t>
      </w:r>
    </w:p>
    <w:p>
      <w:pPr>
        <w:spacing w:before="0" w:after="160"/>
        <w:ind w:firstLine="720"/>
        <w:jc w:val="left"/>
      </w:pPr>
      <w:r>
        <w:rPr>
          <w:rFonts w:ascii="Arial" w:cs="Arial" w:eastAsia="Arial" w:hAnsi="Arial"/>
          <w:sz w:val="22"/>
          <w:szCs w:val="22"/>
        </w:rPr>
        <w:t xml:space="preserve">Critically, the complaint noted at the time of drafting that the French case "is currently pending before the French Cour d'Appel" — confirming the California action was conceived as a parallel track while the French appeal was still live.</w:t>
      </w:r>
    </w:p>
    <w:p>
      <w:pPr>
        <w:spacing w:before="240" w:after="120"/>
      </w:pPr>
      <w:r>
        <w:rPr>
          <w:rFonts w:ascii="Arial" w:cs="Arial" w:eastAsia="Arial" w:hAnsi="Arial"/>
          <w:b/>
          <w:bCs/>
          <w:color w:val="2E4A7A"/>
          <w:sz w:val="24"/>
          <w:szCs w:val="24"/>
        </w:rPr>
        <w:t xml:space="preserve">B.  The Dismissal (June 27, 2014)</w:t>
      </w:r>
    </w:p>
    <w:p>
      <w:pPr>
        <w:spacing w:before="0" w:after="160"/>
        <w:ind w:firstLine="720"/>
        <w:jc w:val="left"/>
      </w:pPr>
      <w:r>
        <w:rPr>
          <w:rFonts w:ascii="Arial" w:cs="Arial" w:eastAsia="Arial" w:hAnsi="Arial"/>
          <w:sz w:val="22"/>
          <w:szCs w:val="22"/>
        </w:rPr>
        <w:t xml:space="preserve">Form CIV-110 Request for Dismissal was signed by Tomas M. Flores on June 27, 2014, seeking dismissal WITHOUT PREJUDICE of the complaint (Santa Clara Superior Court). This occurred approximately five months after filing and approximately three months after the French Court of Appeal defeat (March 12, 2014).</w:t>
      </w:r>
    </w:p>
    <w:p>
      <w:pPr>
        <w:spacing w:before="0" w:after="160"/>
        <w:ind w:firstLine="720"/>
        <w:jc w:val="left"/>
      </w:pPr>
      <w:r>
        <w:rPr>
          <w:rFonts w:ascii="Arial" w:cs="Arial" w:eastAsia="Arial" w:hAnsi="Arial"/>
          <w:sz w:val="22"/>
          <w:szCs w:val="22"/>
        </w:rPr>
        <w:t xml:space="preserve">Key facts about the dismissal:</w:t>
      </w:r>
    </w:p>
    <w:p>
      <w:pPr>
        <w:pStyle w:val="ListParagraph"/>
        <w:numPr>
          <w:ilvl w:val="0"/>
          <w:numId w:val="2"/>
        </w:numPr>
        <w:spacing w:before="0" w:after="80"/>
        <w:ind w:left="720" w:hanging="360"/>
      </w:pPr>
      <w:r>
        <w:rPr>
          <w:rFonts w:ascii="Arial" w:cs="Arial" w:eastAsia="Arial" w:hAnsi="Arial"/>
          <w:sz w:val="22"/>
          <w:szCs w:val="22"/>
        </w:rPr>
        <w:t xml:space="preserve">Without prejudice — not a settlement. SetNet preserved the right to refile but did not do so.</w:t>
      </w:r>
    </w:p>
    <w:p>
      <w:pPr>
        <w:pStyle w:val="ListParagraph"/>
        <w:numPr>
          <w:ilvl w:val="0"/>
          <w:numId w:val="2"/>
        </w:numPr>
        <w:spacing w:before="0" w:after="80"/>
        <w:ind w:left="720" w:hanging="360"/>
      </w:pPr>
      <w:r>
        <w:rPr>
          <w:rFonts w:ascii="Arial" w:cs="Arial" w:eastAsia="Arial" w:hAnsi="Arial"/>
          <w:sz w:val="22"/>
          <w:szCs w:val="22"/>
        </w:rPr>
        <w:t xml:space="preserve">Signed by SetNet's own counsel — not the result of a successful defense motion.</w:t>
      </w:r>
    </w:p>
    <w:p>
      <w:pPr>
        <w:pStyle w:val="ListParagraph"/>
        <w:numPr>
          <w:ilvl w:val="0"/>
          <w:numId w:val="2"/>
        </w:numPr>
        <w:spacing w:before="0" w:after="80"/>
        <w:ind w:left="720" w:hanging="360"/>
      </w:pPr>
      <w:r>
        <w:rPr>
          <w:rFonts w:ascii="Arial" w:cs="Arial" w:eastAsia="Arial" w:hAnsi="Arial"/>
          <w:sz w:val="22"/>
          <w:szCs w:val="22"/>
        </w:rPr>
        <w:t xml:space="preserve">Timing precisely tracks the financing collapse following the French appeal loss in March 2014.</w:t>
      </w:r>
    </w:p>
    <w:p>
      <w:pPr>
        <w:pStyle w:val="ListParagraph"/>
        <w:numPr>
          <w:ilvl w:val="0"/>
          <w:numId w:val="2"/>
        </w:numPr>
        <w:spacing w:before="0" w:after="80"/>
        <w:ind w:left="720" w:hanging="360"/>
      </w:pPr>
      <w:r>
        <w:rPr>
          <w:rFonts w:ascii="Arial" w:cs="Arial" w:eastAsia="Arial" w:hAnsi="Arial"/>
          <w:sz w:val="22"/>
          <w:szCs w:val="22"/>
        </w:rPr>
        <w:t xml:space="preserve">No case management, discovery, or substantive court proceedings appear to have occurred in the five-month window.</w:t>
      </w:r>
    </w:p>
    <w:p>
      <w:pPr>
        <w:spacing w:before="240" w:after="120"/>
      </w:pPr>
      <w:r>
        <w:rPr>
          <w:rFonts w:ascii="Arial" w:cs="Arial" w:eastAsia="Arial" w:hAnsi="Arial"/>
          <w:b/>
          <w:bCs/>
          <w:color w:val="2E4A7A"/>
          <w:sz w:val="24"/>
          <w:szCs w:val="24"/>
        </w:rPr>
        <w:t xml:space="preserve">C.  Significance for Malpractice Claim</w:t>
      </w:r>
    </w:p>
    <w:p>
      <w:pPr>
        <w:spacing w:before="0" w:after="160"/>
        <w:ind w:firstLine="720"/>
        <w:jc w:val="left"/>
      </w:pPr>
      <w:r>
        <w:rPr>
          <w:rFonts w:ascii="Arial" w:cs="Arial" w:eastAsia="Arial" w:hAnsi="Arial"/>
          <w:sz w:val="22"/>
          <w:szCs w:val="22"/>
        </w:rPr>
        <w:t xml:space="preserve">The California action against HP Company — filed in a jurisdiction where HP maintains its principal executive offices at 300 Hanover Street, Palo Alto, California — was a viable, parallel forum for asserting substantially the same claims against the same core defendants. California provides: (1) favorable discovery rules; (2) California trade secret law (UTSA, Cal. Civ. Code § 3426); (3) California unfair competition (Bus. &amp; Prof. Code § 17200, permitting broad restitution remedies); and (4) California punitive damages (Civ. Code § 3294).</w:t>
      </w:r>
    </w:p>
    <w:p>
      <w:pPr>
        <w:spacing w:before="0" w:after="160"/>
        <w:ind w:firstLine="720"/>
        <w:jc w:val="left"/>
      </w:pPr>
      <w:r>
        <w:rPr>
          <w:rFonts w:ascii="Arial" w:cs="Arial" w:eastAsia="Arial" w:hAnsi="Arial"/>
          <w:sz w:val="22"/>
          <w:szCs w:val="22"/>
        </w:rPr>
        <w:t xml:space="preserve">The fact that this action was filed, pursued briefly, and abandoned without prejudice — solely for lack of resources — is direct evidence that the Morgan Lewis financing trap had eliminated SetNet's ability to mount any litigation strategy against HP, in any forum, regardless of the merits. The LMT Avocats memo (March 1, 2011) had assessed 80–90% success probability on the unpaid royalties claim with €15–50M estimated recovery. That probability was never tested because the client was financially asphyxiated.</w:t>
      </w:r>
    </w:p>
    <w:p>
      <w:pPr>
        <w:spacing w:before="0" w:after="120"/>
      </w:pPr>
    </w:p>
    <w:p>
      <w:pPr>
        <w:pBdr>
          <w:bottom w:val="single" w:color="1F3864" w:sz="8" w:space="4"/>
        </w:pBdr>
        <w:spacing w:before="320" w:after="160"/>
      </w:pPr>
      <w:r>
        <w:rPr>
          <w:rFonts w:ascii="Arial" w:cs="Arial" w:eastAsia="Arial" w:hAnsi="Arial"/>
          <w:b/>
          <w:bCs/>
          <w:color w:val="1F3864"/>
          <w:sz w:val="26"/>
          <w:szCs w:val="26"/>
        </w:rPr>
        <w:t xml:space="preserve">VII.  EXPERT VALUATION AND MERITS EVIDENCE</w:t>
      </w:r>
    </w:p>
    <w:p>
      <w:pPr>
        <w:spacing w:before="240" w:after="120"/>
      </w:pPr>
      <w:r>
        <w:rPr>
          <w:rFonts w:ascii="Arial" w:cs="Arial" w:eastAsia="Arial" w:hAnsi="Arial"/>
          <w:b/>
          <w:bCs/>
          <w:color w:val="2E4A7A"/>
          <w:sz w:val="24"/>
          <w:szCs w:val="24"/>
        </w:rPr>
        <w:t xml:space="preserve">A.  Lipski Expert Report (Court-Approved)</w:t>
      </w:r>
    </w:p>
    <w:p>
      <w:pPr>
        <w:spacing w:before="0" w:after="160"/>
        <w:ind w:firstLine="720"/>
        <w:jc w:val="left"/>
      </w:pPr>
      <w:r>
        <w:rPr>
          <w:rFonts w:ascii="Arial" w:cs="Arial" w:eastAsia="Arial" w:hAnsi="Arial"/>
          <w:sz w:val="22"/>
          <w:szCs w:val="22"/>
        </w:rPr>
        <w:t xml:space="preserve">The Lipski Expert Report, prepared by a court-approved expert in the French proceedings, valued SetNet's damages at:</w:t>
      </w:r>
    </w:p>
    <w:p>
      <w:pPr>
        <w:pStyle w:val="ListParagraph"/>
        <w:numPr>
          <w:ilvl w:val="0"/>
          <w:numId w:val="2"/>
        </w:numPr>
        <w:spacing w:before="0" w:after="80"/>
        <w:ind w:left="720" w:hanging="360"/>
      </w:pPr>
      <w:r>
        <w:rPr>
          <w:rFonts w:ascii="Arial" w:cs="Arial" w:eastAsia="Arial" w:hAnsi="Arial"/>
          <w:b/>
          <w:bCs/>
          <w:sz w:val="22"/>
          <w:szCs w:val="22"/>
        </w:rPr>
        <w:t xml:space="preserve">€16.35 million</w:t>
      </w:r>
      <w:r>
        <w:rPr>
          <w:rFonts w:ascii="Arial" w:cs="Arial" w:eastAsia="Arial" w:hAnsi="Arial"/>
          <w:sz w:val="22"/>
          <w:szCs w:val="22"/>
        </w:rPr>
        <w:t xml:space="preserve"> — missed revenues from unlicensed Cellcentric usage</w:t>
      </w:r>
    </w:p>
    <w:p>
      <w:pPr>
        <w:pStyle w:val="ListParagraph"/>
        <w:numPr>
          <w:ilvl w:val="0"/>
          <w:numId w:val="2"/>
        </w:numPr>
        <w:spacing w:before="0" w:after="80"/>
        <w:ind w:left="720" w:hanging="360"/>
      </w:pPr>
      <w:r>
        <w:rPr>
          <w:rFonts w:ascii="Arial" w:cs="Arial" w:eastAsia="Arial" w:hAnsi="Arial"/>
          <w:b/>
          <w:bCs/>
          <w:sz w:val="22"/>
          <w:szCs w:val="22"/>
        </w:rPr>
        <w:t xml:space="preserve">€27 million</w:t>
      </w:r>
      <w:r>
        <w:rPr>
          <w:rFonts w:ascii="Arial" w:cs="Arial" w:eastAsia="Arial" w:hAnsi="Arial"/>
          <w:sz w:val="22"/>
          <w:szCs w:val="22"/>
        </w:rPr>
        <w:t xml:space="preserve"> — lost opportunities (consequential damages)</w:t>
      </w:r>
    </w:p>
    <w:p>
      <w:pPr>
        <w:pStyle w:val="ListParagraph"/>
        <w:numPr>
          <w:ilvl w:val="0"/>
          <w:numId w:val="2"/>
        </w:numPr>
        <w:spacing w:before="0" w:after="80"/>
        <w:ind w:left="720" w:hanging="360"/>
      </w:pPr>
      <w:r>
        <w:rPr>
          <w:rFonts w:ascii="Arial" w:cs="Arial" w:eastAsia="Arial" w:hAnsi="Arial"/>
          <w:b/>
          <w:bCs/>
          <w:sz w:val="22"/>
          <w:szCs w:val="22"/>
        </w:rPr>
        <w:t xml:space="preserve">Total: €43.35 million+</w:t>
      </w:r>
      <w:r>
        <w:rPr>
          <w:rFonts w:ascii="Arial" w:cs="Arial" w:eastAsia="Arial" w:hAnsi="Arial"/>
          <w:sz w:val="22"/>
          <w:szCs w:val="22"/>
        </w:rPr>
        <w:t xml:space="preserve"> — against SFR's actual €1.653 billion in revenue generated from Cellcentric-powered platforms</w:t>
      </w:r>
    </w:p>
    <w:p>
      <w:pPr>
        <w:spacing w:before="240" w:after="120"/>
      </w:pPr>
      <w:r>
        <w:rPr>
          <w:rFonts w:ascii="Arial" w:cs="Arial" w:eastAsia="Arial" w:hAnsi="Arial"/>
          <w:b/>
          <w:bCs/>
          <w:color w:val="2E4A7A"/>
          <w:sz w:val="24"/>
          <w:szCs w:val="24"/>
        </w:rPr>
        <w:t xml:space="preserve">B.  LMT Avocats Legal Memorandum (March 1, 2011)</w:t>
      </w:r>
    </w:p>
    <w:p>
      <w:pPr>
        <w:spacing w:before="0" w:after="160"/>
        <w:ind w:firstLine="720"/>
        <w:jc w:val="left"/>
      </w:pPr>
      <w:r>
        <w:rPr>
          <w:rFonts w:ascii="Arial" w:cs="Arial" w:eastAsia="Arial" w:hAnsi="Arial"/>
          <w:sz w:val="22"/>
          <w:szCs w:val="22"/>
        </w:rPr>
        <w:t xml:space="preserve">Christophe Héry and Jérôme Rousselle of LMT Avocats, Paris, prepared a confidential legal memorandum (ref: 20110047) addressed to Fabio Floh of LAEP Investments. The memo assessed:</w:t>
      </w:r>
    </w:p>
    <w:p>
      <w:pPr>
        <w:pStyle w:val="ListParagraph"/>
        <w:numPr>
          <w:ilvl w:val="0"/>
          <w:numId w:val="2"/>
        </w:numPr>
        <w:spacing w:before="0" w:after="80"/>
        <w:ind w:left="720" w:hanging="360"/>
      </w:pPr>
      <w:r>
        <w:rPr>
          <w:rFonts w:ascii="Arial" w:cs="Arial" w:eastAsia="Arial" w:hAnsi="Arial"/>
          <w:b/>
          <w:bCs/>
          <w:sz w:val="22"/>
          <w:szCs w:val="22"/>
        </w:rPr>
        <w:t xml:space="preserve">80–90%</w:t>
      </w:r>
      <w:r>
        <w:rPr>
          <w:rFonts w:ascii="Arial" w:cs="Arial" w:eastAsia="Arial" w:hAnsi="Arial"/>
          <w:sz w:val="22"/>
          <w:szCs w:val="22"/>
        </w:rPr>
        <w:t xml:space="preserve"> probability of success on SetNet's unpaid royalties claim</w:t>
      </w:r>
    </w:p>
    <w:p>
      <w:pPr>
        <w:pStyle w:val="ListParagraph"/>
        <w:numPr>
          <w:ilvl w:val="0"/>
          <w:numId w:val="2"/>
        </w:numPr>
        <w:spacing w:before="0" w:after="80"/>
        <w:ind w:left="720" w:hanging="360"/>
      </w:pPr>
      <w:r>
        <w:rPr>
          <w:rFonts w:ascii="Arial" w:cs="Arial" w:eastAsia="Arial" w:hAnsi="Arial"/>
          <w:b/>
          <w:bCs/>
          <w:sz w:val="22"/>
          <w:szCs w:val="22"/>
        </w:rPr>
        <w:t xml:space="preserve">€15–50 million</w:t>
      </w:r>
      <w:r>
        <w:rPr>
          <w:rFonts w:ascii="Arial" w:cs="Arial" w:eastAsia="Arial" w:hAnsi="Arial"/>
          <w:sz w:val="22"/>
          <w:szCs w:val="22"/>
        </w:rPr>
        <w:t xml:space="preserve"> estimated recovery range</w:t>
      </w:r>
    </w:p>
    <w:p>
      <w:pPr>
        <w:pStyle w:val="ListParagraph"/>
        <w:numPr>
          <w:ilvl w:val="0"/>
          <w:numId w:val="2"/>
        </w:numPr>
        <w:spacing w:before="0" w:after="80"/>
        <w:ind w:left="720" w:hanging="360"/>
      </w:pPr>
      <w:r>
        <w:rPr>
          <w:rFonts w:ascii="Arial" w:cs="Arial" w:eastAsia="Arial" w:hAnsi="Arial"/>
          <w:sz w:val="22"/>
          <w:szCs w:val="22"/>
        </w:rPr>
        <w:t xml:space="preserve">Identified specific procedural vulnerabilities in SetNet's position that a properly resourced legal team could address</w:t>
      </w:r>
    </w:p>
    <w:p>
      <w:pPr>
        <w:spacing w:before="0" w:after="160"/>
        <w:ind w:firstLine="720"/>
        <w:jc w:val="left"/>
      </w:pPr>
      <w:r>
        <w:rPr>
          <w:rFonts w:ascii="Arial" w:cs="Arial" w:eastAsia="Arial" w:hAnsi="Arial"/>
          <w:sz w:val="22"/>
          <w:szCs w:val="22"/>
        </w:rPr>
        <w:t xml:space="preserve">This memo was addressed to the Series A investor rather than driving SetNet's litigation strategy directly — itself a consequence of the financing structure. LAEP was evaluating continued investment while SetNet lacked the capital to implement the strategic improvements LMT recommended.</w:t>
      </w:r>
    </w:p>
    <w:p>
      <w:pPr>
        <w:spacing w:before="240" w:after="120"/>
      </w:pPr>
      <w:r>
        <w:rPr>
          <w:rFonts w:ascii="Arial" w:cs="Arial" w:eastAsia="Arial" w:hAnsi="Arial"/>
          <w:b/>
          <w:bCs/>
          <w:color w:val="2E4A7A"/>
          <w:sz w:val="24"/>
          <w:szCs w:val="24"/>
        </w:rPr>
        <w:t xml:space="preserve">C.  The RPVA Failure</w:t>
      </w:r>
    </w:p>
    <w:p>
      <w:pPr>
        <w:spacing w:before="0" w:after="160"/>
        <w:ind w:firstLine="720"/>
        <w:jc w:val="left"/>
      </w:pPr>
      <w:r>
        <w:rPr>
          <w:rFonts w:ascii="Arial" w:cs="Arial" w:eastAsia="Arial" w:hAnsi="Arial"/>
          <w:sz w:val="22"/>
          <w:szCs w:val="22"/>
        </w:rPr>
        <w:t xml:space="preserve">The key insider affidavit — potentially the most significant evidentiary submission in the French appeal — was excluded by the Court of Appeal due to a technical failure of the RPVA (Réseau Privé Virtuel des Avocats), the French courts' electronic filing system. A properly resourced litigation team with redundant filing capabilities and technical support would have anticipated and overcome this failure. The exclusion of this affidavit was a direct proximate cause of the Court of Appeal defeat.</w:t>
      </w:r>
    </w:p>
    <w:p>
      <w:pPr>
        <w:spacing w:before="0" w:after="120"/>
      </w:pPr>
    </w:p>
    <w:p>
      <w:pPr>
        <w:pBdr>
          <w:bottom w:val="single" w:color="1F3864" w:sz="8" w:space="4"/>
        </w:pBdr>
        <w:spacing w:before="320" w:after="160"/>
      </w:pPr>
      <w:r>
        <w:rPr>
          <w:rFonts w:ascii="Arial" w:cs="Arial" w:eastAsia="Arial" w:hAnsi="Arial"/>
          <w:b/>
          <w:bCs/>
          <w:color w:val="1F3864"/>
          <w:sz w:val="26"/>
          <w:szCs w:val="26"/>
        </w:rPr>
        <w:t xml:space="preserve">VIII.  MORGAN LEWIS INSTITUTIONAL CONFLICT PATTERN</w:t>
      </w:r>
    </w:p>
    <w:p>
      <w:pPr>
        <w:spacing w:before="0" w:after="160"/>
        <w:ind w:firstLine="720"/>
        <w:jc w:val="left"/>
      </w:pPr>
      <w:r>
        <w:rPr>
          <w:rFonts w:ascii="Arial" w:cs="Arial" w:eastAsia="Arial" w:hAnsi="Arial"/>
          <w:sz w:val="22"/>
          <w:szCs w:val="22"/>
        </w:rPr>
        <w:t xml:space="preserve">The SetNet conflict is not an isolated incident. Morgan Lewis has a documented pattern of concurrent conflict violations resulting in significant adverse outcomes for clients:</w:t>
      </w:r>
    </w:p>
    <w:p>
      <w:pPr>
        <w:pStyle w:val="ListParagraph"/>
        <w:numPr>
          <w:ilvl w:val="0"/>
          <w:numId w:val="2"/>
        </w:numPr>
        <w:spacing w:before="0" w:after="80"/>
        <w:ind w:left="720" w:hanging="360"/>
      </w:pPr>
      <w:r>
        <w:rPr>
          <w:rFonts w:ascii="Arial" w:cs="Arial" w:eastAsia="Arial" w:hAnsi="Arial"/>
          <w:b/>
          <w:bCs/>
          <w:sz w:val="22"/>
          <w:szCs w:val="22"/>
        </w:rPr>
        <w:t xml:space="preserve">2013 — HP/Autonomy:</w:t>
      </w:r>
      <w:r>
        <w:rPr>
          <w:rFonts w:ascii="Arial" w:cs="Arial" w:eastAsia="Arial" w:hAnsi="Arial"/>
          <w:sz w:val="22"/>
          <w:szCs w:val="22"/>
        </w:rPr>
        <w:t xml:space="preserve"> HP dropped Morgan Lewis from the Autonomy shareholder litigation after it emerged that the firm had represented Autonomy in the very acquisition that was the subject of the lawsuit. The firm was representing both the acquirer (HP) and the target (Autonomy) in connected matters.</w:t>
      </w:r>
    </w:p>
    <w:p>
      <w:pPr>
        <w:pStyle w:val="ListParagraph"/>
        <w:numPr>
          <w:ilvl w:val="0"/>
          <w:numId w:val="2"/>
        </w:numPr>
        <w:spacing w:before="0" w:after="80"/>
        <w:ind w:left="720" w:hanging="360"/>
      </w:pPr>
      <w:r>
        <w:rPr>
          <w:rFonts w:ascii="Arial" w:cs="Arial" w:eastAsia="Arial" w:hAnsi="Arial"/>
          <w:b/>
          <w:bCs/>
          <w:sz w:val="22"/>
          <w:szCs w:val="22"/>
        </w:rPr>
        <w:t xml:space="preserve">2019 — Towers Watson:</w:t>
      </w:r>
      <w:r>
        <w:rPr>
          <w:rFonts w:ascii="Arial" w:cs="Arial" w:eastAsia="Arial" w:hAnsi="Arial"/>
          <w:sz w:val="22"/>
          <w:szCs w:val="22"/>
        </w:rPr>
        <w:t xml:space="preserve"> Morgan Lewis settled a $30 million conflict lawsuit brought by Towers Watson Delaware Inc., which alleged that the firm had worked against a client's interests by helping to build a case against it on behalf of another client. The structural parallel to the SetNet situation is direct: the same firm, the same pattern.</w:t>
      </w:r>
    </w:p>
    <w:p>
      <w:pPr>
        <w:spacing w:before="0" w:after="160"/>
        <w:ind w:firstLine="720"/>
        <w:jc w:val="left"/>
      </w:pPr>
      <w:r>
        <w:rPr>
          <w:rFonts w:ascii="Arial" w:cs="Arial" w:eastAsia="Arial" w:hAnsi="Arial"/>
          <w:sz w:val="22"/>
          <w:szCs w:val="22"/>
        </w:rPr>
        <w:t xml:space="preserve">These documented instances establish that the conduct at issue in the SetNet case — concurrent representation of adverse clients, failure to disclose conflicts, and failure to withdraw — represents a recurring institutional failure, not a one-time oversight. This pattern is relevant to any punitive damages analysis and to bar disciplinary proceedings.</w:t>
      </w:r>
    </w:p>
    <w:p>
      <w:pPr>
        <w:spacing w:before="0" w:after="120"/>
      </w:pPr>
    </w:p>
    <w:p>
      <w:pPr>
        <w:pBdr>
          <w:bottom w:val="single" w:color="1F3864" w:sz="8" w:space="4"/>
        </w:pBdr>
        <w:spacing w:before="320" w:after="160"/>
      </w:pPr>
      <w:r>
        <w:rPr>
          <w:rFonts w:ascii="Arial" w:cs="Arial" w:eastAsia="Arial" w:hAnsi="Arial"/>
          <w:b/>
          <w:bCs/>
          <w:color w:val="1F3864"/>
          <w:sz w:val="26"/>
          <w:szCs w:val="26"/>
        </w:rPr>
        <w:t xml:space="preserve">IX.  AVAILABLE REMEDIES</w:t>
      </w:r>
    </w:p>
    <w:p>
      <w:pPr>
        <w:spacing w:before="240" w:after="120"/>
      </w:pPr>
      <w:r>
        <w:rPr>
          <w:rFonts w:ascii="Arial" w:cs="Arial" w:eastAsia="Arial" w:hAnsi="Arial"/>
          <w:b/>
          <w:bCs/>
          <w:color w:val="2E4A7A"/>
          <w:sz w:val="24"/>
          <w:szCs w:val="24"/>
        </w:rPr>
        <w:t xml:space="preserve">A.  Civil Malpractice</w:t>
      </w:r>
    </w:p>
    <w:p>
      <w:pPr>
        <w:pStyle w:val="ListParagraph"/>
        <w:numPr>
          <w:ilvl w:val="0"/>
          <w:numId w:val="2"/>
        </w:numPr>
        <w:spacing w:before="0" w:after="80"/>
        <w:ind w:left="720" w:hanging="360"/>
      </w:pPr>
      <w:r>
        <w:rPr>
          <w:rFonts w:ascii="Arial" w:cs="Arial" w:eastAsia="Arial" w:hAnsi="Arial"/>
          <w:b/>
          <w:bCs/>
          <w:sz w:val="22"/>
          <w:szCs w:val="22"/>
        </w:rPr>
        <w:t xml:space="preserve">Fee disgorgement:</w:t>
      </w:r>
      <w:r>
        <w:rPr>
          <w:rFonts w:ascii="Arial" w:cs="Arial" w:eastAsia="Arial" w:hAnsi="Arial"/>
          <w:sz w:val="22"/>
          <w:szCs w:val="22"/>
        </w:rPr>
        <w:t xml:space="preserve"> All fees paid to Morgan Lewis during the conflicted engagement are subject to disgorgement. A lawyer who undertakes representation in violation of Rule 1.7 is not entitled to retain fees earned during the conflicted period.</w:t>
      </w:r>
    </w:p>
    <w:p>
      <w:pPr>
        <w:pStyle w:val="ListParagraph"/>
        <w:numPr>
          <w:ilvl w:val="0"/>
          <w:numId w:val="2"/>
        </w:numPr>
        <w:spacing w:before="0" w:after="80"/>
        <w:ind w:left="720" w:hanging="360"/>
      </w:pPr>
      <w:r>
        <w:rPr>
          <w:rFonts w:ascii="Arial" w:cs="Arial" w:eastAsia="Arial" w:hAnsi="Arial"/>
          <w:b/>
          <w:bCs/>
          <w:sz w:val="22"/>
          <w:szCs w:val="22"/>
        </w:rPr>
        <w:t xml:space="preserve">Malpractice damages:</w:t>
      </w:r>
      <w:r>
        <w:rPr>
          <w:rFonts w:ascii="Arial" w:cs="Arial" w:eastAsia="Arial" w:hAnsi="Arial"/>
          <w:sz w:val="22"/>
          <w:szCs w:val="22"/>
        </w:rPr>
        <w:t xml:space="preserve"> Financing trap consequences (inability to fund French litigation and California action); patent prosecution failures; misrepresentation of applicable ethical standards (Chinese Wall); Chapter 7 bankruptcy as a quantifiable harm directly traceable to the financing asphyxiation.</w:t>
      </w:r>
    </w:p>
    <w:p>
      <w:pPr>
        <w:pStyle w:val="ListParagraph"/>
        <w:numPr>
          <w:ilvl w:val="0"/>
          <w:numId w:val="2"/>
        </w:numPr>
        <w:spacing w:before="0" w:after="80"/>
        <w:ind w:left="720" w:hanging="360"/>
      </w:pPr>
      <w:r>
        <w:rPr>
          <w:rFonts w:ascii="Arial" w:cs="Arial" w:eastAsia="Arial" w:hAnsi="Arial"/>
          <w:b/>
          <w:bCs/>
          <w:sz w:val="22"/>
          <w:szCs w:val="22"/>
        </w:rPr>
        <w:t xml:space="preserve">"But for" causation:</w:t>
      </w:r>
      <w:r>
        <w:rPr>
          <w:rFonts w:ascii="Arial" w:cs="Arial" w:eastAsia="Arial" w:hAnsi="Arial"/>
          <w:sz w:val="22"/>
          <w:szCs w:val="22"/>
        </w:rPr>
        <w:t xml:space="preserve"> The LMT Avocats 80–90% success assessment and the Lipski expert valuation of €43.35M+ establish that the underlying French case was meritorious. The proximate cause of defeat was financing failure, and the proximate cause of financing failure was the Morgan Lewis Series A structure. The California action, properly funded, would have provided an additional forum against HP Company directly.</w:t>
      </w:r>
    </w:p>
    <w:p>
      <w:pPr>
        <w:spacing w:before="240" w:after="120"/>
      </w:pPr>
      <w:r>
        <w:rPr>
          <w:rFonts w:ascii="Arial" w:cs="Arial" w:eastAsia="Arial" w:hAnsi="Arial"/>
          <w:b/>
          <w:bCs/>
          <w:color w:val="2E4A7A"/>
          <w:sz w:val="24"/>
          <w:szCs w:val="24"/>
        </w:rPr>
        <w:t xml:space="preserve">B.  Disciplinary Proceedings</w:t>
      </w:r>
    </w:p>
    <w:p>
      <w:pPr>
        <w:pStyle w:val="ListParagraph"/>
        <w:numPr>
          <w:ilvl w:val="0"/>
          <w:numId w:val="2"/>
        </w:numPr>
        <w:spacing w:before="0" w:after="80"/>
        <w:ind w:left="720" w:hanging="360"/>
      </w:pPr>
      <w:r>
        <w:rPr>
          <w:rFonts w:ascii="Arial" w:cs="Arial" w:eastAsia="Arial" w:hAnsi="Arial"/>
          <w:b/>
          <w:bCs/>
          <w:sz w:val="22"/>
          <w:szCs w:val="22"/>
        </w:rPr>
        <w:t xml:space="preserve">Florida Bar:</w:t>
      </w:r>
      <w:r>
        <w:rPr>
          <w:rFonts w:ascii="Arial" w:cs="Arial" w:eastAsia="Arial" w:hAnsi="Arial"/>
          <w:sz w:val="22"/>
          <w:szCs w:val="22"/>
        </w:rPr>
        <w:t xml:space="preserve"> SetNet is a Florida corporation; Morgan Lewis is registered in Florida. Florida Bar Rules 4-1.7, 4-1.8(b), 4-1.8(f), 4-1.1, and 4-1.6 are directly applicable.</w:t>
      </w:r>
    </w:p>
    <w:p>
      <w:pPr>
        <w:pStyle w:val="ListParagraph"/>
        <w:numPr>
          <w:ilvl w:val="0"/>
          <w:numId w:val="2"/>
        </w:numPr>
        <w:spacing w:before="0" w:after="80"/>
        <w:ind w:left="720" w:hanging="360"/>
      </w:pPr>
      <w:r>
        <w:rPr>
          <w:rFonts w:ascii="Arial" w:cs="Arial" w:eastAsia="Arial" w:hAnsi="Arial"/>
          <w:b/>
          <w:bCs/>
          <w:sz w:val="22"/>
          <w:szCs w:val="22"/>
        </w:rPr>
        <w:t xml:space="preserve">French Conseil National des Barreaux (CNB):</w:t>
      </w:r>
      <w:r>
        <w:rPr>
          <w:rFonts w:ascii="Arial" w:cs="Arial" w:eastAsia="Arial" w:hAnsi="Arial"/>
          <w:sz w:val="22"/>
          <w:szCs w:val="22"/>
        </w:rPr>
        <w:t xml:space="preserve"> Morgan Lewis's Paris office participated in or was aware of the concurrent representation of SetNet's litigation adversary (HP France). RIN Arts. 2, 4.1, 4.2, and 16.4 apply. Potential criminal liability under French Penal Code Art. 226-13 (breach of professional secrecy).</w:t>
      </w:r>
    </w:p>
    <w:p>
      <w:pPr>
        <w:spacing w:before="240" w:after="120"/>
      </w:pPr>
      <w:r>
        <w:rPr>
          <w:rFonts w:ascii="Arial" w:cs="Arial" w:eastAsia="Arial" w:hAnsi="Arial"/>
          <w:b/>
          <w:bCs/>
          <w:color w:val="2E4A7A"/>
          <w:sz w:val="24"/>
          <w:szCs w:val="24"/>
        </w:rPr>
        <w:t xml:space="preserve">C.  Voiding of Conflicted Work Product</w:t>
      </w:r>
    </w:p>
    <w:p>
      <w:pPr>
        <w:spacing w:before="0" w:after="160"/>
        <w:ind w:firstLine="720"/>
        <w:jc w:val="left"/>
      </w:pPr>
      <w:r>
        <w:rPr>
          <w:rFonts w:ascii="Arial" w:cs="Arial" w:eastAsia="Arial" w:hAnsi="Arial"/>
          <w:sz w:val="22"/>
          <w:szCs w:val="22"/>
        </w:rPr>
        <w:t xml:space="preserve">Work product produced during the conflicted engagement — including the Series A Term Sheet, patent applications, and any strategic advice — may be subject to voiding as products of a tainted attorney-client relationship.</w:t>
      </w:r>
    </w:p>
    <w:p>
      <w:pPr>
        <w:spacing w:before="240" w:after="120"/>
      </w:pPr>
      <w:r>
        <w:rPr>
          <w:rFonts w:ascii="Arial" w:cs="Arial" w:eastAsia="Arial" w:hAnsi="Arial"/>
          <w:b/>
          <w:bCs/>
          <w:color w:val="2E4A7A"/>
          <w:sz w:val="24"/>
          <w:szCs w:val="24"/>
        </w:rPr>
        <w:t xml:space="preserve">D.  Third-Party Claims</w:t>
      </w:r>
    </w:p>
    <w:p>
      <w:pPr>
        <w:spacing w:before="0" w:after="160"/>
        <w:ind w:firstLine="720"/>
        <w:jc w:val="left"/>
      </w:pPr>
      <w:r>
        <w:rPr>
          <w:rFonts w:ascii="Arial" w:cs="Arial" w:eastAsia="Arial" w:hAnsi="Arial"/>
          <w:sz w:val="22"/>
          <w:szCs w:val="22"/>
        </w:rPr>
        <w:t xml:space="preserve">The RIM third-party payor arrangement — under which RIM paid Fodor's legal fees while using Fodor's documents in proceedings adverse to Fodor's interests — may support claims against RIM directly for interference with the attorney-client relationship and unauthorized use of confidential materials submitted pursuant to federal subpoena.</w:t>
      </w:r>
    </w:p>
    <w:p>
      <w:pPr>
        <w:spacing w:before="0" w:after="120"/>
      </w:pPr>
    </w:p>
    <w:p>
      <w:pPr>
        <w:pBdr>
          <w:bottom w:val="single" w:color="1F3864" w:sz="8" w:space="4"/>
        </w:pBdr>
        <w:spacing w:before="320" w:after="160"/>
      </w:pPr>
      <w:r>
        <w:rPr>
          <w:rFonts w:ascii="Arial" w:cs="Arial" w:eastAsia="Arial" w:hAnsi="Arial"/>
          <w:b/>
          <w:bCs/>
          <w:color w:val="1F3864"/>
          <w:sz w:val="26"/>
          <w:szCs w:val="26"/>
        </w:rPr>
        <w:t xml:space="preserve">X.  DOCUMENT INVENTORY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4160"/>
      </w:tblGrid>
      <w:tr>
        <w:trPr>
          <w:tblHeader/>
        </w:trPr>
        <w:tc>
          <w:tcPr>
            <w:tcW w:type="dxa" w:w="3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Document</w:t>
            </w:r>
          </w:p>
        </w:tc>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Date</w:t>
            </w:r>
          </w:p>
        </w:tc>
        <w:tc>
          <w:tcPr>
            <w:tcW w:type="dxa" w:w="41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spacing w:before="60" w:after="60"/>
            </w:pPr>
            <w:r>
              <w:rPr>
                <w:rFonts w:ascii="Arial" w:cs="Arial" w:eastAsia="Arial" w:hAnsi="Arial"/>
                <w:b/>
                <w:bCs/>
                <w:sz w:val="22"/>
                <w:szCs w:val="22"/>
              </w:rPr>
              <w:t xml:space="preserve">Significance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SetNet Series A Term Sheet (Morgan Lewis doc ref: 1-PA/3694111.5)</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June 2008</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Primary evidence of financing trap; HP France named as litigation trigger; drafted by conflicted counsel</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LMT Avocats Legal Memo (ref: 20110047)</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Mar. 1, 2011</w:t>
            </w:r>
          </w:p>
        </w:tc>
        <w:tc>
          <w:tcPr>
            <w:tcW w:type="dxa" w:w="41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80–90% success probability; €15–50M estimated recovery; addressed to LAEP/Floh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Lipski Expert Report (Court-Approved)</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Filed in French proceedings</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€16.35M missed revenues + €27M lost opportunities; approved by Cour de Cassation</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Ryan Wood / Fodor Email Chain (incl. Mar. 28–30, 2009 Gray/Pierson/Fodor thread)</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Apr. 11, 2021 / Mar. 2009</w:t>
            </w:r>
          </w:p>
        </w:tc>
        <w:tc>
          <w:tcPr>
            <w:tcW w:type="dxa" w:w="41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Gray email confirms RIM used Fodor's documents in USPTO filings; Fodor denied review rights; Pierson copied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SetNet California Complaint (draft + filed)</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Jan./Feb. 2014</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Named HP Company as defendant; civil conspiracy allegations; California trade secret and unfair competition claims</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Request for Dismissal CIV-110 (Santa Clara Superior Court)</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June 27, 2014</w:t>
            </w:r>
          </w:p>
        </w:tc>
        <w:tc>
          <w:tcPr>
            <w:tcW w:type="dxa" w:w="41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Without prejudice; five months after filing; three months after French Court of Appeal defeat; evidence of financing collapse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Cellcentric Forensic History</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Undated</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before="60" w:after="60"/>
            </w:pPr>
            <w:r>
              <w:rPr>
                <w:rFonts w:ascii="Arial" w:cs="Arial" w:eastAsia="Arial" w:hAnsi="Arial"/>
                <w:sz w:val="22"/>
                <w:szCs w:val="22"/>
              </w:rPr>
              <w:t xml:space="preserve">Names Andrew Gray; confirms Chinese Wall verbal representation; confirms Kleidman financing obstruction</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Aeon Timeline file (aeontimeline.html)</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Current</w:t>
            </w:r>
          </w:p>
        </w:tc>
        <w:tc>
          <w:tcPr>
            <w:tcW w:type="dxa" w:w="41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tcPr>
          <w:p>
            <w:pPr>
              <w:spacing w:before="60" w:after="60"/>
            </w:pPr>
            <w:r>
              <w:rPr>
                <w:rFonts w:ascii="Arial" w:cs="Arial" w:eastAsia="Arial" w:hAnsi="Arial"/>
                <w:sz w:val="22"/>
                <w:szCs w:val="22"/>
              </w:rPr>
              <w:t xml:space="preserve">Interactive timeline — data file pending analysis</w:t>
            </w:r>
          </w:p>
        </w:tc>
      </w:tr>
    </w:tbl>
    <w:p>
      <w:pPr>
        <w:spacing w:before="0" w:after="120"/>
      </w:pPr>
    </w:p>
    <w:p>
      <w:pPr>
        <w:pBdr>
          <w:bottom w:val="single" w:color="AAAAAA" w:sz="4" w:space="1"/>
        </w:pBdr>
        <w:spacing w:before="120" w:after="120"/>
      </w:pPr>
    </w:p>
    <w:p>
      <w:pPr>
        <w:spacing w:before="120" w:after="60"/>
        <w:jc w:val="center"/>
      </w:pPr>
      <w:r>
        <w:rPr>
          <w:rFonts w:ascii="Arial" w:cs="Arial" w:eastAsia="Arial" w:hAnsi="Arial"/>
          <w:i/>
          <w:iCs/>
          <w:sz w:val="18"/>
          <w:szCs w:val="18"/>
        </w:rPr>
        <w:t xml:space="preserve">PRIVILEGED AND CONFIDENTIAL — ATTORNEY-CLIENT COMMUNICATION / WORK PRODUCT</w:t>
      </w:r>
    </w:p>
    <w:p>
      <w:pPr>
        <w:spacing w:before="0" w:after="0"/>
        <w:jc w:val="center"/>
      </w:pPr>
      <w:r>
        <w:rPr>
          <w:rFonts w:ascii="Arial" w:cs="Arial" w:eastAsia="Arial" w:hAnsi="Arial"/>
          <w:sz w:val="18"/>
          <w:szCs w:val="18"/>
        </w:rPr>
        <w:t xml:space="preserve">SetNet Corporation v. Morgan, Lewis &amp; Bockius LLP  |  Comprehensive Analysis  |  March 2026</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F3864"/>
      <w:sz w:val="26"/>
      <w:szCs w:val="26"/>
    </w:rPr>
  </w:style>
  <w:style w:type="paragraph" w:styleId="Heading2">
    <w:name w:val="Heading 2"/>
    <w:basedOn w:val="Normal"/>
    <w:next w:val="Normal"/>
    <w:qFormat/>
    <w:pPr>
      <w:spacing w:before="240" w:after="120"/>
      <w:outlineLvl w:val="1"/>
    </w:pPr>
    <w:rPr>
      <w:rFonts w:ascii="Arial" w:cs="Arial" w:eastAsia="Arial" w:hAnsi="Arial"/>
      <w:b/>
      <w:bCs/>
      <w:color w:val="2E4A7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2026-03-11T19:28:21.156Z</dcterms:created>
  <dcterms:modified xsi:type="dcterms:W3CDTF">2026-03-11T19:28:21.157Z</dcterms:modified>
</cp:coreProperties>
</file>

<file path=docProps/custom.xml><?xml version="1.0" encoding="utf-8"?>
<Properties xmlns="http://schemas.openxmlformats.org/officeDocument/2006/custom-properties" xmlns:vt="http://schemas.openxmlformats.org/officeDocument/2006/docPropsVTypes"/>
</file>